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37A44" w14:textId="35A208D4" w:rsidR="00BB4D6A" w:rsidRDefault="00BB4D6A" w:rsidP="00BA1192">
      <w:pPr>
        <w:spacing w:line="240" w:lineRule="auto"/>
      </w:pPr>
      <w:r w:rsidRPr="00BB4D6A">
        <w:rPr>
          <w:noProof/>
          <w:lang w:eastAsia="fr-FR"/>
        </w:rPr>
        <w:drawing>
          <wp:inline distT="0" distB="0" distL="0" distR="0" wp14:anchorId="0F507DB4" wp14:editId="1DF3271A">
            <wp:extent cx="5759450" cy="688264"/>
            <wp:effectExtent l="0" t="0" r="0"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88264"/>
                    </a:xfrm>
                    <a:prstGeom prst="rect">
                      <a:avLst/>
                    </a:prstGeom>
                    <a:noFill/>
                    <a:ln>
                      <a:noFill/>
                    </a:ln>
                  </pic:spPr>
                </pic:pic>
              </a:graphicData>
            </a:graphic>
          </wp:inline>
        </w:drawing>
      </w:r>
    </w:p>
    <w:p w14:paraId="7DC4FDB0" w14:textId="243976D2" w:rsidR="00F16747" w:rsidRDefault="00F16747" w:rsidP="00BA1192">
      <w:pPr>
        <w:spacing w:line="240" w:lineRule="auto"/>
        <w:jc w:val="center"/>
        <w:rPr>
          <w:rFonts w:ascii="Times New Roman" w:hAnsi="Times New Roman" w:cs="Times New Roman"/>
          <w:b/>
          <w:bCs/>
          <w:color w:val="00B0F0"/>
          <w:sz w:val="24"/>
          <w:szCs w:val="24"/>
        </w:rPr>
      </w:pPr>
      <w:r>
        <w:rPr>
          <w:rFonts w:ascii="Times New Roman" w:hAnsi="Times New Roman" w:cs="Times New Roman"/>
          <w:b/>
          <w:bCs/>
          <w:noProof/>
          <w:sz w:val="24"/>
          <w:szCs w:val="24"/>
          <w:lang w:eastAsia="fr-FR"/>
        </w:rPr>
        <w:pict w14:anchorId="1216CA03">
          <v:rect id="_x0000_s1027" style="position:absolute;left:0;text-align:left;margin-left:3.85pt;margin-top:5.55pt;width:445.6pt;height:52.15pt;z-index:251658240" filled="f" strokecolor="blue" strokeweight="1.5pt"/>
        </w:pict>
      </w:r>
    </w:p>
    <w:p w14:paraId="55436EF5" w14:textId="383253C8" w:rsidR="00B913D3" w:rsidRPr="00F16747" w:rsidRDefault="00F16747" w:rsidP="00BA1192">
      <w:pPr>
        <w:spacing w:line="240" w:lineRule="auto"/>
        <w:jc w:val="center"/>
        <w:rPr>
          <w:rFonts w:ascii="Times New Roman" w:hAnsi="Times New Roman" w:cs="Times New Roman"/>
          <w:b/>
          <w:bCs/>
          <w:color w:val="00B0F0"/>
          <w:sz w:val="24"/>
          <w:szCs w:val="24"/>
        </w:rPr>
      </w:pPr>
      <w:r>
        <w:rPr>
          <w:rFonts w:ascii="Times New Roman" w:hAnsi="Times New Roman" w:cs="Times New Roman"/>
          <w:b/>
          <w:bCs/>
          <w:color w:val="00B0F0"/>
          <w:sz w:val="24"/>
          <w:szCs w:val="24"/>
        </w:rPr>
        <w:t>Spécificités des traumatismes cranio-encé</w:t>
      </w:r>
      <w:r w:rsidR="0035619D" w:rsidRPr="00F16747">
        <w:rPr>
          <w:rFonts w:ascii="Times New Roman" w:hAnsi="Times New Roman" w:cs="Times New Roman"/>
          <w:b/>
          <w:bCs/>
          <w:color w:val="00B0F0"/>
          <w:sz w:val="24"/>
          <w:szCs w:val="24"/>
        </w:rPr>
        <w:t>phaliques</w:t>
      </w:r>
      <w:r>
        <w:rPr>
          <w:rFonts w:ascii="Times New Roman" w:hAnsi="Times New Roman" w:cs="Times New Roman"/>
          <w:b/>
          <w:bCs/>
          <w:color w:val="00B0F0"/>
          <w:sz w:val="24"/>
          <w:szCs w:val="24"/>
        </w:rPr>
        <w:t xml:space="preserve"> par agression à A</w:t>
      </w:r>
      <w:r w:rsidR="0035619D" w:rsidRPr="00F16747">
        <w:rPr>
          <w:rFonts w:ascii="Times New Roman" w:hAnsi="Times New Roman" w:cs="Times New Roman"/>
          <w:b/>
          <w:bCs/>
          <w:color w:val="00B0F0"/>
          <w:sz w:val="24"/>
          <w:szCs w:val="24"/>
        </w:rPr>
        <w:t>ntsiranana</w:t>
      </w:r>
    </w:p>
    <w:p w14:paraId="27AF705C" w14:textId="7674579D" w:rsidR="00BB4D6A" w:rsidRDefault="00BB4D6A" w:rsidP="00BA1192">
      <w:pPr>
        <w:spacing w:line="240" w:lineRule="auto"/>
        <w:jc w:val="both"/>
        <w:rPr>
          <w:rFonts w:ascii="Times New Roman" w:hAnsi="Times New Roman" w:cs="Times New Roman"/>
          <w:b/>
          <w:bCs/>
          <w:color w:val="00B0F0"/>
          <w:szCs w:val="24"/>
          <w:lang w:val="en-US"/>
        </w:rPr>
      </w:pPr>
    </w:p>
    <w:p w14:paraId="685210C7" w14:textId="77777777" w:rsidR="00F16747" w:rsidRPr="00F16747" w:rsidRDefault="00F16747" w:rsidP="00BA1192">
      <w:pPr>
        <w:spacing w:line="240" w:lineRule="auto"/>
        <w:jc w:val="both"/>
        <w:rPr>
          <w:rFonts w:ascii="Times New Roman" w:hAnsi="Times New Roman" w:cs="Times New Roman"/>
          <w:bCs/>
          <w:color w:val="00B0F0"/>
          <w:sz w:val="20"/>
          <w:szCs w:val="24"/>
        </w:rPr>
      </w:pPr>
    </w:p>
    <w:p w14:paraId="107651C4" w14:textId="77777777" w:rsidR="00BB4D6A" w:rsidRPr="00F16747" w:rsidRDefault="00BB4D6A" w:rsidP="00BA1192">
      <w:pPr>
        <w:spacing w:line="240" w:lineRule="auto"/>
        <w:jc w:val="center"/>
        <w:rPr>
          <w:rFonts w:ascii="Times New Roman" w:hAnsi="Times New Roman" w:cs="Times New Roman"/>
          <w:b/>
          <w:bCs/>
          <w:color w:val="00B0F0"/>
          <w:sz w:val="24"/>
          <w:szCs w:val="24"/>
        </w:rPr>
      </w:pPr>
      <w:r w:rsidRPr="00F16747">
        <w:rPr>
          <w:rFonts w:ascii="Times New Roman" w:hAnsi="Times New Roman" w:cs="Times New Roman"/>
          <w:b/>
          <w:bCs/>
          <w:color w:val="00B0F0"/>
          <w:sz w:val="24"/>
          <w:szCs w:val="24"/>
        </w:rPr>
        <w:t xml:space="preserve">Tsiaremby MG, </w:t>
      </w:r>
      <w:proofErr w:type="spellStart"/>
      <w:r w:rsidRPr="00F16747">
        <w:rPr>
          <w:rFonts w:ascii="Times New Roman" w:hAnsi="Times New Roman" w:cs="Times New Roman"/>
          <w:b/>
          <w:bCs/>
          <w:color w:val="00B0F0"/>
          <w:sz w:val="24"/>
          <w:szCs w:val="24"/>
        </w:rPr>
        <w:t>Rakotondraibe</w:t>
      </w:r>
      <w:proofErr w:type="spellEnd"/>
      <w:r w:rsidRPr="00F16747">
        <w:rPr>
          <w:rFonts w:ascii="Times New Roman" w:hAnsi="Times New Roman" w:cs="Times New Roman"/>
          <w:b/>
          <w:bCs/>
          <w:color w:val="00B0F0"/>
          <w:sz w:val="24"/>
          <w:szCs w:val="24"/>
        </w:rPr>
        <w:t xml:space="preserve"> WF, </w:t>
      </w:r>
      <w:proofErr w:type="spellStart"/>
      <w:r w:rsidRPr="00F16747">
        <w:rPr>
          <w:rFonts w:ascii="Times New Roman" w:hAnsi="Times New Roman" w:cs="Times New Roman"/>
          <w:b/>
          <w:bCs/>
          <w:color w:val="00B0F0"/>
          <w:sz w:val="24"/>
          <w:szCs w:val="24"/>
        </w:rPr>
        <w:t>Bemora</w:t>
      </w:r>
      <w:proofErr w:type="spellEnd"/>
      <w:r w:rsidRPr="00F16747">
        <w:rPr>
          <w:rFonts w:ascii="Times New Roman" w:hAnsi="Times New Roman" w:cs="Times New Roman"/>
          <w:b/>
          <w:bCs/>
          <w:color w:val="00B0F0"/>
          <w:sz w:val="24"/>
          <w:szCs w:val="24"/>
        </w:rPr>
        <w:t xml:space="preserve"> JS, </w:t>
      </w:r>
      <w:proofErr w:type="spellStart"/>
      <w:r w:rsidRPr="00F16747">
        <w:rPr>
          <w:rFonts w:ascii="Times New Roman" w:hAnsi="Times New Roman" w:cs="Times New Roman"/>
          <w:b/>
          <w:bCs/>
          <w:color w:val="00B0F0"/>
          <w:sz w:val="24"/>
          <w:szCs w:val="24"/>
        </w:rPr>
        <w:t>Chaima</w:t>
      </w:r>
      <w:proofErr w:type="spellEnd"/>
      <w:r w:rsidRPr="00F16747">
        <w:rPr>
          <w:rFonts w:ascii="Times New Roman" w:hAnsi="Times New Roman" w:cs="Times New Roman"/>
          <w:b/>
          <w:bCs/>
          <w:color w:val="00B0F0"/>
          <w:sz w:val="24"/>
          <w:szCs w:val="24"/>
        </w:rPr>
        <w:t xml:space="preserve"> SA, </w:t>
      </w:r>
      <w:proofErr w:type="spellStart"/>
      <w:r w:rsidRPr="00F16747">
        <w:rPr>
          <w:rFonts w:ascii="Times New Roman" w:hAnsi="Times New Roman" w:cs="Times New Roman"/>
          <w:b/>
          <w:color w:val="00B0F0"/>
          <w:sz w:val="24"/>
          <w:szCs w:val="24"/>
        </w:rPr>
        <w:t>Harioly</w:t>
      </w:r>
      <w:proofErr w:type="spellEnd"/>
      <w:r w:rsidRPr="00F16747">
        <w:rPr>
          <w:rFonts w:ascii="Times New Roman" w:hAnsi="Times New Roman" w:cs="Times New Roman"/>
          <w:b/>
          <w:color w:val="00B0F0"/>
          <w:sz w:val="24"/>
          <w:szCs w:val="24"/>
        </w:rPr>
        <w:t xml:space="preserve"> NMOJ</w:t>
      </w:r>
      <w:r w:rsidRPr="00F16747">
        <w:rPr>
          <w:rFonts w:ascii="Times New Roman" w:hAnsi="Times New Roman" w:cs="Times New Roman"/>
          <w:b/>
          <w:bCs/>
          <w:color w:val="00B0F0"/>
          <w:sz w:val="24"/>
          <w:szCs w:val="24"/>
        </w:rPr>
        <w:t xml:space="preserve">, </w:t>
      </w:r>
      <w:proofErr w:type="spellStart"/>
      <w:r w:rsidRPr="00F16747">
        <w:rPr>
          <w:rFonts w:ascii="Times New Roman" w:hAnsi="Times New Roman" w:cs="Times New Roman"/>
          <w:b/>
          <w:bCs/>
          <w:color w:val="00B0F0"/>
          <w:sz w:val="24"/>
          <w:szCs w:val="24"/>
        </w:rPr>
        <w:t>Rakotoarisoa</w:t>
      </w:r>
      <w:proofErr w:type="spellEnd"/>
      <w:r w:rsidRPr="00F16747">
        <w:rPr>
          <w:rFonts w:ascii="Times New Roman" w:hAnsi="Times New Roman" w:cs="Times New Roman"/>
          <w:b/>
          <w:bCs/>
          <w:color w:val="00B0F0"/>
          <w:sz w:val="24"/>
          <w:szCs w:val="24"/>
        </w:rPr>
        <w:t xml:space="preserve"> AHN, </w:t>
      </w:r>
      <w:proofErr w:type="spellStart"/>
      <w:r w:rsidRPr="00F16747">
        <w:rPr>
          <w:rFonts w:ascii="Times New Roman" w:hAnsi="Times New Roman" w:cs="Times New Roman"/>
          <w:b/>
          <w:bCs/>
          <w:color w:val="00B0F0"/>
          <w:sz w:val="24"/>
          <w:szCs w:val="24"/>
        </w:rPr>
        <w:t>Ratovondrainy</w:t>
      </w:r>
      <w:proofErr w:type="spellEnd"/>
      <w:r w:rsidRPr="00F16747">
        <w:rPr>
          <w:rFonts w:ascii="Times New Roman" w:hAnsi="Times New Roman" w:cs="Times New Roman"/>
          <w:b/>
          <w:bCs/>
          <w:color w:val="00B0F0"/>
          <w:sz w:val="24"/>
          <w:szCs w:val="24"/>
        </w:rPr>
        <w:t xml:space="preserve"> W, </w:t>
      </w:r>
      <w:proofErr w:type="spellStart"/>
      <w:r w:rsidRPr="00F16747">
        <w:rPr>
          <w:rFonts w:ascii="Times New Roman" w:hAnsi="Times New Roman" w:cs="Times New Roman"/>
          <w:b/>
          <w:bCs/>
          <w:color w:val="00B0F0"/>
          <w:sz w:val="24"/>
          <w:szCs w:val="24"/>
        </w:rPr>
        <w:t>Rabarijaona</w:t>
      </w:r>
      <w:proofErr w:type="spellEnd"/>
      <w:r w:rsidRPr="00F16747">
        <w:rPr>
          <w:rFonts w:ascii="Times New Roman" w:hAnsi="Times New Roman" w:cs="Times New Roman"/>
          <w:b/>
          <w:bCs/>
          <w:color w:val="00B0F0"/>
          <w:sz w:val="24"/>
          <w:szCs w:val="24"/>
        </w:rPr>
        <w:t xml:space="preserve"> M, </w:t>
      </w:r>
      <w:proofErr w:type="spellStart"/>
      <w:r w:rsidRPr="00F16747">
        <w:rPr>
          <w:rFonts w:ascii="Times New Roman" w:hAnsi="Times New Roman" w:cs="Times New Roman"/>
          <w:b/>
          <w:bCs/>
          <w:color w:val="00B0F0"/>
          <w:sz w:val="24"/>
          <w:szCs w:val="24"/>
        </w:rPr>
        <w:t>Andriamamonjy</w:t>
      </w:r>
      <w:proofErr w:type="spellEnd"/>
      <w:r w:rsidRPr="00F16747">
        <w:rPr>
          <w:rFonts w:ascii="Times New Roman" w:hAnsi="Times New Roman" w:cs="Times New Roman"/>
          <w:b/>
          <w:bCs/>
          <w:color w:val="00B0F0"/>
          <w:sz w:val="24"/>
          <w:szCs w:val="24"/>
        </w:rPr>
        <w:t xml:space="preserve"> C</w:t>
      </w:r>
    </w:p>
    <w:p w14:paraId="262B859A" w14:textId="77777777" w:rsidR="0030068A" w:rsidRPr="00E5290F" w:rsidRDefault="0030068A" w:rsidP="00BA1192">
      <w:pPr>
        <w:spacing w:line="240" w:lineRule="auto"/>
        <w:jc w:val="both"/>
        <w:rPr>
          <w:rFonts w:ascii="Times New Roman" w:hAnsi="Times New Roman" w:cs="Times New Roman"/>
          <w:sz w:val="24"/>
          <w:szCs w:val="24"/>
          <w:lang w:val="en-US"/>
        </w:rPr>
      </w:pPr>
    </w:p>
    <w:p w14:paraId="6EB11DAA" w14:textId="77777777" w:rsidR="0030068A" w:rsidRPr="00E5290F" w:rsidRDefault="0030068A" w:rsidP="00BA1192">
      <w:pPr>
        <w:spacing w:line="240" w:lineRule="auto"/>
        <w:jc w:val="both"/>
        <w:rPr>
          <w:rFonts w:ascii="Times New Roman" w:hAnsi="Times New Roman" w:cs="Times New Roman"/>
          <w:sz w:val="24"/>
          <w:szCs w:val="24"/>
          <w:lang w:val="en-US"/>
        </w:rPr>
      </w:pPr>
    </w:p>
    <w:p w14:paraId="1BCBEFDB" w14:textId="77777777" w:rsidR="0025520B" w:rsidRPr="00213806" w:rsidRDefault="00FB42A3" w:rsidP="00BA1192">
      <w:pPr>
        <w:spacing w:line="240" w:lineRule="auto"/>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fr-FR"/>
        </w:rPr>
        <w:pict w14:anchorId="142FD994">
          <v:shapetype id="_x0000_t32" coordsize="21600,21600" o:spt="32" o:oned="t" path="m,l21600,21600e" filled="f">
            <v:path arrowok="t" fillok="f" o:connecttype="none"/>
            <o:lock v:ext="edit" shapetype="t"/>
          </v:shapetype>
          <v:shape id="_x0000_s1028" type="#_x0000_t32" style="position:absolute;left:0;text-align:left;margin-left:103.15pt;margin-top:8.15pt;width:351pt;height:.75pt;flip:y;z-index:251659264" o:connectortype="straight" strokecolor="#002060" strokeweight="1pt"/>
        </w:pict>
      </w:r>
      <w:r w:rsidR="0030068A" w:rsidRPr="00213806">
        <w:rPr>
          <w:rFonts w:ascii="Times New Roman" w:hAnsi="Times New Roman" w:cs="Times New Roman"/>
          <w:b/>
          <w:color w:val="002060"/>
          <w:sz w:val="24"/>
          <w:szCs w:val="24"/>
        </w:rPr>
        <w:t>INTRODUCTION</w:t>
      </w:r>
    </w:p>
    <w:p w14:paraId="79BD6A04" w14:textId="77777777" w:rsidR="00AA7179" w:rsidRPr="00E6265B" w:rsidRDefault="00AA7179" w:rsidP="00BA1192">
      <w:pPr>
        <w:spacing w:line="240" w:lineRule="auto"/>
        <w:ind w:firstLine="708"/>
        <w:jc w:val="both"/>
        <w:rPr>
          <w:rFonts w:ascii="Times New Roman" w:hAnsi="Times New Roman" w:cs="Times New Roman"/>
          <w:sz w:val="24"/>
          <w:szCs w:val="24"/>
        </w:rPr>
      </w:pPr>
      <w:r w:rsidRPr="00AA7179">
        <w:rPr>
          <w:rFonts w:ascii="Times New Roman" w:hAnsi="Times New Roman" w:cs="Times New Roman"/>
          <w:sz w:val="24"/>
          <w:szCs w:val="24"/>
        </w:rPr>
        <w:t>Le traumatisme cranio-encéphalique (TCE) regroupe toutes les lésions post-traumatiques qui concernent la boite crânienne, méninges et surtout le parenchyme cérébra</w:t>
      </w:r>
      <w:r w:rsidR="00773BC1">
        <w:rPr>
          <w:rFonts w:ascii="Times New Roman" w:hAnsi="Times New Roman" w:cs="Times New Roman"/>
          <w:sz w:val="24"/>
          <w:szCs w:val="24"/>
        </w:rPr>
        <w:t>l et les nerfs crâniens (</w:t>
      </w:r>
      <w:r w:rsidR="00471A88">
        <w:rPr>
          <w:rFonts w:ascii="Times New Roman" w:hAnsi="Times New Roman" w:cs="Times New Roman"/>
          <w:sz w:val="24"/>
          <w:szCs w:val="24"/>
        </w:rPr>
        <w:t>1</w:t>
      </w:r>
      <w:proofErr w:type="gramStart"/>
      <w:r w:rsidR="00773BC1">
        <w:rPr>
          <w:rFonts w:ascii="Times New Roman" w:hAnsi="Times New Roman" w:cs="Times New Roman"/>
          <w:sz w:val="24"/>
          <w:szCs w:val="24"/>
        </w:rPr>
        <w:t>)</w:t>
      </w:r>
      <w:r w:rsidRPr="00AA7179">
        <w:rPr>
          <w:rFonts w:ascii="Times New Roman" w:hAnsi="Times New Roman" w:cs="Times New Roman"/>
          <w:sz w:val="24"/>
          <w:szCs w:val="24"/>
        </w:rPr>
        <w:t>.L’incidence</w:t>
      </w:r>
      <w:proofErr w:type="gramEnd"/>
      <w:r w:rsidRPr="00AA7179">
        <w:rPr>
          <w:rFonts w:ascii="Times New Roman" w:hAnsi="Times New Roman" w:cs="Times New Roman"/>
          <w:sz w:val="24"/>
          <w:szCs w:val="24"/>
        </w:rPr>
        <w:t xml:space="preserve"> des traumatismes crâniens dans le monde est de 281/100000 habitants/ an, avec, quel que soit l’âge, une</w:t>
      </w:r>
      <w:r w:rsidR="00773BC1">
        <w:rPr>
          <w:rFonts w:ascii="Times New Roman" w:hAnsi="Times New Roman" w:cs="Times New Roman"/>
          <w:sz w:val="24"/>
          <w:szCs w:val="24"/>
        </w:rPr>
        <w:t xml:space="preserve"> nette prédominance masculine (</w:t>
      </w:r>
      <w:r w:rsidR="00471A88">
        <w:rPr>
          <w:rFonts w:ascii="Times New Roman" w:hAnsi="Times New Roman" w:cs="Times New Roman"/>
          <w:sz w:val="24"/>
          <w:szCs w:val="24"/>
        </w:rPr>
        <w:t>2</w:t>
      </w:r>
      <w:r w:rsidR="00773BC1">
        <w:rPr>
          <w:rFonts w:ascii="Times New Roman" w:hAnsi="Times New Roman" w:cs="Times New Roman"/>
          <w:sz w:val="24"/>
          <w:szCs w:val="24"/>
        </w:rPr>
        <w:t>)</w:t>
      </w:r>
      <w:r w:rsidRPr="00AA7179">
        <w:rPr>
          <w:rFonts w:ascii="Times New Roman" w:hAnsi="Times New Roman" w:cs="Times New Roman"/>
          <w:sz w:val="24"/>
          <w:szCs w:val="24"/>
        </w:rPr>
        <w:t xml:space="preserve">. Aux Etats-Unis, chaque année, environ 1,5 million de personnes sont victimes </w:t>
      </w:r>
      <w:r w:rsidR="007C27E2">
        <w:rPr>
          <w:rFonts w:ascii="Times New Roman" w:hAnsi="Times New Roman" w:cs="Times New Roman"/>
          <w:sz w:val="24"/>
          <w:szCs w:val="24"/>
        </w:rPr>
        <w:t>de TCE dont 52 000 décèdent (</w:t>
      </w:r>
      <w:r w:rsidR="00471A88">
        <w:rPr>
          <w:rFonts w:ascii="Times New Roman" w:hAnsi="Times New Roman" w:cs="Times New Roman"/>
          <w:sz w:val="24"/>
          <w:szCs w:val="24"/>
        </w:rPr>
        <w:t>3,4</w:t>
      </w:r>
      <w:proofErr w:type="gramStart"/>
      <w:r w:rsidR="007C27E2">
        <w:rPr>
          <w:rFonts w:ascii="Times New Roman" w:hAnsi="Times New Roman" w:cs="Times New Roman"/>
          <w:sz w:val="24"/>
          <w:szCs w:val="24"/>
        </w:rPr>
        <w:t>)</w:t>
      </w:r>
      <w:r w:rsidRPr="00AA7179">
        <w:rPr>
          <w:rFonts w:ascii="Times New Roman" w:hAnsi="Times New Roman" w:cs="Times New Roman"/>
          <w:sz w:val="24"/>
          <w:szCs w:val="24"/>
        </w:rPr>
        <w:t>.L’agression</w:t>
      </w:r>
      <w:proofErr w:type="gramEnd"/>
      <w:r w:rsidRPr="00AA7179">
        <w:rPr>
          <w:rFonts w:ascii="Times New Roman" w:hAnsi="Times New Roman" w:cs="Times New Roman"/>
          <w:sz w:val="24"/>
          <w:szCs w:val="24"/>
        </w:rPr>
        <w:t xml:space="preserve"> se définit comme un acte de violence où une personne utilise intentionnellement sa force physique pour porter atteinte à l’intégrité ph</w:t>
      </w:r>
      <w:r w:rsidR="00045A79">
        <w:rPr>
          <w:rFonts w:ascii="Times New Roman" w:hAnsi="Times New Roman" w:cs="Times New Roman"/>
          <w:sz w:val="24"/>
          <w:szCs w:val="24"/>
        </w:rPr>
        <w:t>ysique d’une tierce personne (</w:t>
      </w:r>
      <w:r w:rsidR="00471A88">
        <w:rPr>
          <w:rFonts w:ascii="Times New Roman" w:hAnsi="Times New Roman" w:cs="Times New Roman"/>
          <w:sz w:val="24"/>
          <w:szCs w:val="24"/>
        </w:rPr>
        <w:t>5</w:t>
      </w:r>
      <w:r w:rsidR="00045A79">
        <w:rPr>
          <w:rFonts w:ascii="Times New Roman" w:hAnsi="Times New Roman" w:cs="Times New Roman"/>
          <w:sz w:val="24"/>
          <w:szCs w:val="24"/>
        </w:rPr>
        <w:t>)</w:t>
      </w:r>
      <w:r w:rsidRPr="00AA7179">
        <w:rPr>
          <w:rFonts w:ascii="Times New Roman" w:hAnsi="Times New Roman" w:cs="Times New Roman"/>
          <w:sz w:val="24"/>
          <w:szCs w:val="24"/>
        </w:rPr>
        <w:t>. En Europe, les agressions représentent la troisième cause des traumatismes crâniens après les chute</w:t>
      </w:r>
      <w:r>
        <w:rPr>
          <w:rFonts w:ascii="Times New Roman" w:hAnsi="Times New Roman" w:cs="Times New Roman"/>
          <w:sz w:val="24"/>
          <w:szCs w:val="24"/>
        </w:rPr>
        <w:t xml:space="preserve">s et les accidents de la </w:t>
      </w:r>
      <w:proofErr w:type="gramStart"/>
      <w:r>
        <w:rPr>
          <w:rFonts w:ascii="Times New Roman" w:hAnsi="Times New Roman" w:cs="Times New Roman"/>
          <w:sz w:val="24"/>
          <w:szCs w:val="24"/>
        </w:rPr>
        <w:t>route</w:t>
      </w:r>
      <w:r w:rsidR="00045A79">
        <w:rPr>
          <w:rFonts w:ascii="Times New Roman" w:hAnsi="Times New Roman" w:cs="Times New Roman"/>
          <w:sz w:val="24"/>
          <w:szCs w:val="24"/>
        </w:rPr>
        <w:t>(</w:t>
      </w:r>
      <w:proofErr w:type="gramEnd"/>
      <w:r w:rsidR="00471A88">
        <w:rPr>
          <w:rFonts w:ascii="Times New Roman" w:hAnsi="Times New Roman" w:cs="Times New Roman"/>
          <w:sz w:val="24"/>
          <w:szCs w:val="24"/>
        </w:rPr>
        <w:t>6</w:t>
      </w:r>
      <w:r w:rsidR="00045A79">
        <w:rPr>
          <w:rFonts w:ascii="Times New Roman" w:hAnsi="Times New Roman" w:cs="Times New Roman"/>
          <w:sz w:val="24"/>
          <w:szCs w:val="24"/>
        </w:rPr>
        <w:t>)</w:t>
      </w:r>
      <w:r>
        <w:rPr>
          <w:rFonts w:ascii="Times New Roman" w:hAnsi="Times New Roman" w:cs="Times New Roman"/>
          <w:sz w:val="24"/>
          <w:szCs w:val="24"/>
        </w:rPr>
        <w:t>. Cependant à</w:t>
      </w:r>
      <w:r w:rsidRPr="00AA7179">
        <w:rPr>
          <w:rFonts w:ascii="Times New Roman" w:hAnsi="Times New Roman" w:cs="Times New Roman"/>
          <w:sz w:val="24"/>
          <w:szCs w:val="24"/>
        </w:rPr>
        <w:t xml:space="preserve"> Antsiranana, des études réalisées sur les traumatismes crâniens rapportaient que les agressions représentaient les étiol</w:t>
      </w:r>
      <w:r w:rsidR="00471A88">
        <w:rPr>
          <w:rFonts w:ascii="Times New Roman" w:hAnsi="Times New Roman" w:cs="Times New Roman"/>
          <w:sz w:val="24"/>
          <w:szCs w:val="24"/>
        </w:rPr>
        <w:t>ogies les p</w:t>
      </w:r>
      <w:r w:rsidR="00045A79">
        <w:rPr>
          <w:rFonts w:ascii="Times New Roman" w:hAnsi="Times New Roman" w:cs="Times New Roman"/>
          <w:sz w:val="24"/>
          <w:szCs w:val="24"/>
        </w:rPr>
        <w:t>lus fréquentes (</w:t>
      </w:r>
      <w:r w:rsidR="00471A88">
        <w:rPr>
          <w:rFonts w:ascii="Times New Roman" w:hAnsi="Times New Roman" w:cs="Times New Roman"/>
          <w:sz w:val="24"/>
          <w:szCs w:val="24"/>
        </w:rPr>
        <w:t>7</w:t>
      </w:r>
      <w:proofErr w:type="gramStart"/>
      <w:r w:rsidR="00045A79">
        <w:rPr>
          <w:rFonts w:ascii="Times New Roman" w:hAnsi="Times New Roman" w:cs="Times New Roman"/>
          <w:sz w:val="24"/>
          <w:szCs w:val="24"/>
        </w:rPr>
        <w:t>)</w:t>
      </w:r>
      <w:r w:rsidRPr="00AA7179">
        <w:rPr>
          <w:rFonts w:ascii="Times New Roman" w:hAnsi="Times New Roman" w:cs="Times New Roman"/>
          <w:sz w:val="24"/>
          <w:szCs w:val="24"/>
        </w:rPr>
        <w:t>.</w:t>
      </w:r>
      <w:r w:rsidR="006334F4" w:rsidRPr="006334F4">
        <w:rPr>
          <w:rFonts w:ascii="Times New Roman" w:hAnsi="Times New Roman" w:cs="Times New Roman"/>
          <w:sz w:val="24"/>
          <w:szCs w:val="24"/>
        </w:rPr>
        <w:t>Toutefois</w:t>
      </w:r>
      <w:proofErr w:type="gramEnd"/>
      <w:r w:rsidR="006334F4" w:rsidRPr="006334F4">
        <w:rPr>
          <w:rFonts w:ascii="Times New Roman" w:hAnsi="Times New Roman" w:cs="Times New Roman"/>
          <w:sz w:val="24"/>
          <w:szCs w:val="24"/>
        </w:rPr>
        <w:t xml:space="preserve">, aucune étude spécifique n’a été faite exclusivement sur </w:t>
      </w:r>
      <w:r w:rsidR="006334F4">
        <w:rPr>
          <w:rFonts w:ascii="Times New Roman" w:hAnsi="Times New Roman" w:cs="Times New Roman"/>
          <w:sz w:val="24"/>
          <w:szCs w:val="24"/>
        </w:rPr>
        <w:t>les TCE par agression dans la ville d’Antsiranana</w:t>
      </w:r>
      <w:r w:rsidR="006334F4" w:rsidRPr="006334F4">
        <w:rPr>
          <w:rFonts w:ascii="Times New Roman" w:hAnsi="Times New Roman" w:cs="Times New Roman"/>
          <w:sz w:val="24"/>
          <w:szCs w:val="24"/>
        </w:rPr>
        <w:t>.</w:t>
      </w:r>
      <w:r w:rsidR="006334F4">
        <w:rPr>
          <w:rFonts w:ascii="Times New Roman" w:hAnsi="Times New Roman" w:cs="Times New Roman"/>
          <w:sz w:val="24"/>
          <w:szCs w:val="24"/>
        </w:rPr>
        <w:t xml:space="preserve"> D’où cette étude qui vise à</w:t>
      </w:r>
      <w:r w:rsidRPr="00AA7179">
        <w:rPr>
          <w:rFonts w:ascii="Times New Roman" w:hAnsi="Times New Roman" w:cs="Times New Roman"/>
          <w:sz w:val="24"/>
          <w:szCs w:val="24"/>
        </w:rPr>
        <w:t xml:space="preserve"> déterminer les spécificités épidémiologiques et lésionnelles de ces TCE par agression.</w:t>
      </w:r>
    </w:p>
    <w:p w14:paraId="2DA5A0B5" w14:textId="77777777" w:rsidR="00F16747" w:rsidRDefault="00F16747" w:rsidP="00BA1192">
      <w:pPr>
        <w:spacing w:line="240" w:lineRule="auto"/>
        <w:jc w:val="both"/>
        <w:rPr>
          <w:rFonts w:ascii="Times New Roman" w:hAnsi="Times New Roman" w:cs="Times New Roman"/>
          <w:b/>
          <w:color w:val="002060"/>
          <w:sz w:val="24"/>
          <w:szCs w:val="24"/>
        </w:rPr>
        <w:sectPr w:rsidR="00F16747" w:rsidSect="00925112">
          <w:headerReference w:type="default" r:id="rId9"/>
          <w:pgSz w:w="11906" w:h="16838"/>
          <w:pgMar w:top="1417" w:right="1417" w:bottom="1417" w:left="1417" w:header="708" w:footer="708" w:gutter="0"/>
          <w:cols w:space="708"/>
          <w:docGrid w:linePitch="360"/>
        </w:sectPr>
      </w:pPr>
    </w:p>
    <w:p w14:paraId="729903E7" w14:textId="2B3BBBF0" w:rsidR="00A22C87" w:rsidRPr="00213806" w:rsidRDefault="00FB42A3" w:rsidP="00BA1192">
      <w:pPr>
        <w:spacing w:line="240" w:lineRule="auto"/>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fr-FR"/>
        </w:rPr>
        <w:lastRenderedPageBreak/>
        <w:pict w14:anchorId="0ABAC109">
          <v:shape id="_x0000_s1029" type="#_x0000_t32" style="position:absolute;left:0;text-align:left;margin-left:170.65pt;margin-top:4.95pt;width:278.8pt;height:3pt;flip:y;z-index:251660288" o:connectortype="straight" strokecolor="#002060" strokeweight="1pt"/>
        </w:pict>
      </w:r>
      <w:r w:rsidR="009828F3" w:rsidRPr="00213806">
        <w:rPr>
          <w:rFonts w:ascii="Times New Roman" w:hAnsi="Times New Roman" w:cs="Times New Roman"/>
          <w:b/>
          <w:color w:val="002060"/>
          <w:sz w:val="24"/>
          <w:szCs w:val="24"/>
        </w:rPr>
        <w:t>MATERIEL</w:t>
      </w:r>
      <w:r w:rsidR="00D76360" w:rsidRPr="00213806">
        <w:rPr>
          <w:rFonts w:ascii="Times New Roman" w:hAnsi="Times New Roman" w:cs="Times New Roman"/>
          <w:b/>
          <w:color w:val="002060"/>
          <w:sz w:val="24"/>
          <w:szCs w:val="24"/>
        </w:rPr>
        <w:t>S</w:t>
      </w:r>
      <w:r w:rsidR="00412C51" w:rsidRPr="00213806">
        <w:rPr>
          <w:rFonts w:ascii="Times New Roman" w:hAnsi="Times New Roman" w:cs="Times New Roman"/>
          <w:b/>
          <w:color w:val="002060"/>
          <w:sz w:val="24"/>
          <w:szCs w:val="24"/>
        </w:rPr>
        <w:t xml:space="preserve"> ET METHODE</w:t>
      </w:r>
      <w:r w:rsidR="00D76360" w:rsidRPr="00213806">
        <w:rPr>
          <w:rFonts w:ascii="Times New Roman" w:hAnsi="Times New Roman" w:cs="Times New Roman"/>
          <w:b/>
          <w:color w:val="002060"/>
          <w:sz w:val="24"/>
          <w:szCs w:val="24"/>
        </w:rPr>
        <w:t>S</w:t>
      </w:r>
    </w:p>
    <w:p w14:paraId="733796D9" w14:textId="77777777" w:rsidR="006334F4" w:rsidRPr="00D65477" w:rsidRDefault="00A8316F" w:rsidP="00BA1192">
      <w:pPr>
        <w:pStyle w:val="Sansinterligne"/>
        <w:ind w:firstLine="708"/>
        <w:jc w:val="both"/>
        <w:rPr>
          <w:rFonts w:ascii="Times New Roman" w:hAnsi="Times New Roman" w:cs="Times New Roman"/>
          <w:sz w:val="24"/>
          <w:szCs w:val="24"/>
        </w:rPr>
      </w:pPr>
      <w:r w:rsidRPr="00E6265B">
        <w:rPr>
          <w:rFonts w:ascii="Times New Roman" w:hAnsi="Times New Roman" w:cs="Times New Roman"/>
          <w:sz w:val="24"/>
          <w:szCs w:val="24"/>
        </w:rPr>
        <w:t>Il s’agit d’une é</w:t>
      </w:r>
      <w:r w:rsidR="006334F4">
        <w:rPr>
          <w:rFonts w:ascii="Times New Roman" w:hAnsi="Times New Roman" w:cs="Times New Roman"/>
          <w:sz w:val="24"/>
          <w:szCs w:val="24"/>
        </w:rPr>
        <w:t>tude rétrospective transversale et</w:t>
      </w:r>
      <w:r w:rsidR="006334F4" w:rsidRPr="00D65477">
        <w:rPr>
          <w:rFonts w:ascii="Times New Roman" w:hAnsi="Times New Roman" w:cs="Times New Roman"/>
          <w:sz w:val="24"/>
          <w:szCs w:val="24"/>
        </w:rPr>
        <w:t xml:space="preserve"> descriptive </w:t>
      </w:r>
      <w:r w:rsidR="006334F4">
        <w:rPr>
          <w:rFonts w:ascii="Times New Roman" w:hAnsi="Times New Roman" w:cs="Times New Roman"/>
          <w:sz w:val="24"/>
          <w:szCs w:val="24"/>
        </w:rPr>
        <w:t>de 6 ans du j</w:t>
      </w:r>
      <w:r w:rsidR="006334F4" w:rsidRPr="00D65477">
        <w:rPr>
          <w:rFonts w:ascii="Times New Roman" w:hAnsi="Times New Roman" w:cs="Times New Roman"/>
          <w:sz w:val="24"/>
          <w:szCs w:val="24"/>
        </w:rPr>
        <w:t>anvi</w:t>
      </w:r>
      <w:r w:rsidR="006334F4">
        <w:rPr>
          <w:rFonts w:ascii="Times New Roman" w:hAnsi="Times New Roman" w:cs="Times New Roman"/>
          <w:sz w:val="24"/>
          <w:szCs w:val="24"/>
        </w:rPr>
        <w:t xml:space="preserve">er 2018 à décembre 2023 réalisée au CHU </w:t>
      </w:r>
      <w:proofErr w:type="spellStart"/>
      <w:r w:rsidR="006334F4">
        <w:rPr>
          <w:rFonts w:ascii="Times New Roman" w:hAnsi="Times New Roman" w:cs="Times New Roman"/>
          <w:sz w:val="24"/>
          <w:szCs w:val="24"/>
        </w:rPr>
        <w:t>Tanambao</w:t>
      </w:r>
      <w:proofErr w:type="spellEnd"/>
      <w:r w:rsidR="006334F4">
        <w:rPr>
          <w:rFonts w:ascii="Times New Roman" w:hAnsi="Times New Roman" w:cs="Times New Roman"/>
          <w:sz w:val="24"/>
          <w:szCs w:val="24"/>
        </w:rPr>
        <w:t xml:space="preserve"> I Antsiranana</w:t>
      </w:r>
      <w:r w:rsidR="006334F4" w:rsidRPr="00D65477">
        <w:rPr>
          <w:rFonts w:ascii="Times New Roman" w:hAnsi="Times New Roman" w:cs="Times New Roman"/>
          <w:sz w:val="24"/>
          <w:szCs w:val="24"/>
        </w:rPr>
        <w:t>.</w:t>
      </w:r>
      <w:r w:rsidR="00213806">
        <w:rPr>
          <w:rFonts w:ascii="Times New Roman" w:hAnsi="Times New Roman" w:cs="Times New Roman"/>
          <w:sz w:val="24"/>
          <w:szCs w:val="24"/>
        </w:rPr>
        <w:t xml:space="preserve"> </w:t>
      </w:r>
      <w:r w:rsidR="00DF777F" w:rsidRPr="00DF777F">
        <w:rPr>
          <w:rFonts w:ascii="Times New Roman" w:hAnsi="Times New Roman" w:cs="Times New Roman"/>
          <w:sz w:val="24"/>
          <w:szCs w:val="24"/>
        </w:rPr>
        <w:t xml:space="preserve">Nous avons inclus tous les patients admis </w:t>
      </w:r>
      <w:r w:rsidR="00DF777F">
        <w:rPr>
          <w:rFonts w:ascii="Times New Roman" w:hAnsi="Times New Roman" w:cs="Times New Roman"/>
          <w:sz w:val="24"/>
          <w:szCs w:val="24"/>
        </w:rPr>
        <w:t xml:space="preserve">en hospitalisation au CHU </w:t>
      </w:r>
      <w:proofErr w:type="spellStart"/>
      <w:r w:rsidR="00DF777F">
        <w:rPr>
          <w:rFonts w:ascii="Times New Roman" w:hAnsi="Times New Roman" w:cs="Times New Roman"/>
          <w:sz w:val="24"/>
          <w:szCs w:val="24"/>
        </w:rPr>
        <w:t>Tanambao</w:t>
      </w:r>
      <w:proofErr w:type="spellEnd"/>
      <w:r w:rsidR="00213806">
        <w:rPr>
          <w:rFonts w:ascii="Times New Roman" w:hAnsi="Times New Roman" w:cs="Times New Roman"/>
          <w:sz w:val="24"/>
          <w:szCs w:val="24"/>
        </w:rPr>
        <w:t xml:space="preserve"> </w:t>
      </w:r>
      <w:r w:rsidR="00DF777F" w:rsidRPr="00DF777F">
        <w:rPr>
          <w:rFonts w:ascii="Times New Roman" w:hAnsi="Times New Roman" w:cs="Times New Roman"/>
          <w:sz w:val="24"/>
          <w:szCs w:val="24"/>
        </w:rPr>
        <w:t>pour TCE par agressi</w:t>
      </w:r>
      <w:r w:rsidR="00AE29FB">
        <w:rPr>
          <w:rFonts w:ascii="Times New Roman" w:hAnsi="Times New Roman" w:cs="Times New Roman"/>
          <w:sz w:val="24"/>
          <w:szCs w:val="24"/>
        </w:rPr>
        <w:t>on durant notre période d’étude, de façon exhaustive. Ont été exclus l</w:t>
      </w:r>
      <w:r w:rsidR="00DF777F" w:rsidRPr="00DF777F">
        <w:rPr>
          <w:rFonts w:ascii="Times New Roman" w:hAnsi="Times New Roman" w:cs="Times New Roman"/>
          <w:sz w:val="24"/>
          <w:szCs w:val="24"/>
        </w:rPr>
        <w:t>es dossiers qui ne contenaient pas d’observation médicale, de paramètres</w:t>
      </w:r>
      <w:r w:rsidR="00293EC9">
        <w:rPr>
          <w:rFonts w:ascii="Times New Roman" w:hAnsi="Times New Roman" w:cs="Times New Roman"/>
          <w:sz w:val="24"/>
          <w:szCs w:val="24"/>
        </w:rPr>
        <w:t xml:space="preserve"> épidémiologiques et</w:t>
      </w:r>
      <w:r w:rsidR="00DF777F" w:rsidRPr="00DF777F">
        <w:rPr>
          <w:rFonts w:ascii="Times New Roman" w:hAnsi="Times New Roman" w:cs="Times New Roman"/>
          <w:sz w:val="24"/>
          <w:szCs w:val="24"/>
        </w:rPr>
        <w:t xml:space="preserve"> cliniques</w:t>
      </w:r>
      <w:r w:rsidR="00AE29FB">
        <w:rPr>
          <w:rFonts w:ascii="Times New Roman" w:hAnsi="Times New Roman" w:cs="Times New Roman"/>
          <w:sz w:val="24"/>
          <w:szCs w:val="24"/>
        </w:rPr>
        <w:t xml:space="preserve">. </w:t>
      </w:r>
      <w:r w:rsidR="00DF777F" w:rsidRPr="00DF777F">
        <w:rPr>
          <w:rFonts w:ascii="Times New Roman" w:hAnsi="Times New Roman" w:cs="Times New Roman"/>
          <w:sz w:val="24"/>
          <w:szCs w:val="24"/>
        </w:rPr>
        <w:t>L’ab</w:t>
      </w:r>
      <w:r w:rsidR="00C649C3">
        <w:rPr>
          <w:rFonts w:ascii="Times New Roman" w:hAnsi="Times New Roman" w:cs="Times New Roman"/>
          <w:sz w:val="24"/>
          <w:szCs w:val="24"/>
        </w:rPr>
        <w:t>sence du résultat radiologique</w:t>
      </w:r>
      <w:r w:rsidR="00DF777F" w:rsidRPr="00DF777F">
        <w:rPr>
          <w:rFonts w:ascii="Times New Roman" w:hAnsi="Times New Roman" w:cs="Times New Roman"/>
          <w:sz w:val="24"/>
          <w:szCs w:val="24"/>
        </w:rPr>
        <w:t xml:space="preserve"> n’ét</w:t>
      </w:r>
      <w:r w:rsidR="00AE29FB">
        <w:rPr>
          <w:rFonts w:ascii="Times New Roman" w:hAnsi="Times New Roman" w:cs="Times New Roman"/>
          <w:sz w:val="24"/>
          <w:szCs w:val="24"/>
        </w:rPr>
        <w:t xml:space="preserve">ait pas un critère d’exclusion. </w:t>
      </w:r>
      <w:r w:rsidR="00DF777F" w:rsidRPr="00DF777F">
        <w:rPr>
          <w:rFonts w:ascii="Times New Roman" w:hAnsi="Times New Roman" w:cs="Times New Roman"/>
          <w:sz w:val="24"/>
          <w:szCs w:val="24"/>
        </w:rPr>
        <w:t>Les données ont été recueillies à partir des registres des patients hospitalisés, des fiches d’admission aux urgences, des cahiers de soins infirmiers, des dossiers médicaux et</w:t>
      </w:r>
      <w:r w:rsidR="00AE29FB">
        <w:rPr>
          <w:rFonts w:ascii="Times New Roman" w:hAnsi="Times New Roman" w:cs="Times New Roman"/>
          <w:sz w:val="24"/>
          <w:szCs w:val="24"/>
        </w:rPr>
        <w:t xml:space="preserve"> des comptes </w:t>
      </w:r>
      <w:r w:rsidR="00AE29FB">
        <w:rPr>
          <w:rFonts w:ascii="Times New Roman" w:hAnsi="Times New Roman" w:cs="Times New Roman"/>
          <w:sz w:val="24"/>
          <w:szCs w:val="24"/>
        </w:rPr>
        <w:lastRenderedPageBreak/>
        <w:t>rendus opératoires</w:t>
      </w:r>
      <w:r w:rsidR="00C649C3">
        <w:rPr>
          <w:rFonts w:ascii="Times New Roman" w:hAnsi="Times New Roman" w:cs="Times New Roman"/>
          <w:sz w:val="24"/>
          <w:szCs w:val="24"/>
        </w:rPr>
        <w:t>,</w:t>
      </w:r>
      <w:r w:rsidR="00AE29FB">
        <w:rPr>
          <w:rFonts w:ascii="Times New Roman" w:hAnsi="Times New Roman" w:cs="Times New Roman"/>
          <w:sz w:val="24"/>
          <w:szCs w:val="24"/>
        </w:rPr>
        <w:t xml:space="preserve"> et traitées à l’aide du programme Excel 2019.</w:t>
      </w:r>
      <w:r w:rsidR="00213806">
        <w:rPr>
          <w:rFonts w:ascii="Times New Roman" w:hAnsi="Times New Roman" w:cs="Times New Roman"/>
          <w:sz w:val="24"/>
          <w:szCs w:val="24"/>
        </w:rPr>
        <w:t xml:space="preserve"> </w:t>
      </w:r>
      <w:r w:rsidR="00AE29FB" w:rsidRPr="00AE29FB">
        <w:rPr>
          <w:rFonts w:ascii="Times New Roman" w:hAnsi="Times New Roman" w:cs="Times New Roman"/>
          <w:sz w:val="24"/>
          <w:szCs w:val="24"/>
        </w:rPr>
        <w:t>Les paramètres</w:t>
      </w:r>
      <w:r w:rsidR="00AE29FB">
        <w:rPr>
          <w:rFonts w:ascii="Times New Roman" w:hAnsi="Times New Roman" w:cs="Times New Roman"/>
          <w:sz w:val="24"/>
          <w:szCs w:val="24"/>
        </w:rPr>
        <w:t xml:space="preserve"> étudiés étaient </w:t>
      </w:r>
      <w:proofErr w:type="gramStart"/>
      <w:r w:rsidR="00AE29FB" w:rsidRPr="00AE29FB">
        <w:rPr>
          <w:rFonts w:ascii="Times New Roman" w:hAnsi="Times New Roman" w:cs="Times New Roman"/>
          <w:sz w:val="24"/>
          <w:szCs w:val="24"/>
        </w:rPr>
        <w:t>épidémiologique</w:t>
      </w:r>
      <w:proofErr w:type="gramEnd"/>
      <w:r w:rsidR="00AE29FB" w:rsidRPr="00AE29FB">
        <w:rPr>
          <w:rFonts w:ascii="Times New Roman" w:hAnsi="Times New Roman" w:cs="Times New Roman"/>
          <w:sz w:val="24"/>
          <w:szCs w:val="24"/>
        </w:rPr>
        <w:t>, cliniqu</w:t>
      </w:r>
      <w:r w:rsidR="006C4C7F">
        <w:rPr>
          <w:rFonts w:ascii="Times New Roman" w:hAnsi="Times New Roman" w:cs="Times New Roman"/>
          <w:sz w:val="24"/>
          <w:szCs w:val="24"/>
        </w:rPr>
        <w:t xml:space="preserve">e et </w:t>
      </w:r>
      <w:r w:rsidR="00F57C8E">
        <w:rPr>
          <w:rFonts w:ascii="Times New Roman" w:hAnsi="Times New Roman" w:cs="Times New Roman"/>
          <w:sz w:val="24"/>
          <w:szCs w:val="24"/>
        </w:rPr>
        <w:t>morphologique</w:t>
      </w:r>
      <w:r w:rsidR="00AE29FB">
        <w:rPr>
          <w:rFonts w:ascii="Times New Roman" w:hAnsi="Times New Roman" w:cs="Times New Roman"/>
          <w:sz w:val="24"/>
          <w:szCs w:val="24"/>
        </w:rPr>
        <w:t>.</w:t>
      </w:r>
    </w:p>
    <w:p w14:paraId="36A2EC42" w14:textId="77777777" w:rsidR="00DB0BD1" w:rsidRPr="00E6265B" w:rsidRDefault="00DB0BD1" w:rsidP="00BA1192">
      <w:pPr>
        <w:spacing w:line="240" w:lineRule="auto"/>
        <w:jc w:val="both"/>
        <w:rPr>
          <w:rFonts w:ascii="Times New Roman" w:hAnsi="Times New Roman" w:cs="Times New Roman"/>
          <w:sz w:val="24"/>
          <w:szCs w:val="24"/>
        </w:rPr>
      </w:pPr>
    </w:p>
    <w:p w14:paraId="234E6955" w14:textId="77777777" w:rsidR="00DB0BD1" w:rsidRPr="00213806" w:rsidRDefault="00FB42A3" w:rsidP="00BA1192">
      <w:pPr>
        <w:spacing w:line="240" w:lineRule="auto"/>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fr-FR"/>
        </w:rPr>
        <w:pict w14:anchorId="398C2793">
          <v:shape id="_x0000_s1030" type="#_x0000_t32" style="position:absolute;left:0;text-align:left;margin-left:77.65pt;margin-top:7.15pt;width:373.5pt;height:0;z-index:251661312" o:connectortype="straight" strokecolor="#002060" strokeweight="1pt"/>
        </w:pict>
      </w:r>
      <w:r w:rsidR="00DB0BD1" w:rsidRPr="00213806">
        <w:rPr>
          <w:rFonts w:ascii="Times New Roman" w:hAnsi="Times New Roman" w:cs="Times New Roman"/>
          <w:b/>
          <w:color w:val="002060"/>
          <w:sz w:val="24"/>
          <w:szCs w:val="24"/>
        </w:rPr>
        <w:t>RESULTATS</w:t>
      </w:r>
    </w:p>
    <w:p w14:paraId="122BB50D" w14:textId="77777777" w:rsidR="00C4608A" w:rsidRDefault="00C4608A" w:rsidP="00BA1192">
      <w:pPr>
        <w:pStyle w:val="Paragraphedeliste"/>
        <w:numPr>
          <w:ilvl w:val="0"/>
          <w:numId w:val="2"/>
        </w:numPr>
        <w:jc w:val="both"/>
        <w:rPr>
          <w:b/>
        </w:rPr>
      </w:pPr>
      <w:r w:rsidRPr="00682118">
        <w:rPr>
          <w:b/>
        </w:rPr>
        <w:t>Paramètres épidémiologiques</w:t>
      </w:r>
    </w:p>
    <w:p w14:paraId="31CD7F07" w14:textId="77777777" w:rsidR="006C4C7F" w:rsidRPr="00682118" w:rsidRDefault="006C4C7F" w:rsidP="00BA1192">
      <w:pPr>
        <w:pStyle w:val="Paragraphedeliste"/>
        <w:jc w:val="both"/>
        <w:rPr>
          <w:b/>
        </w:rPr>
      </w:pPr>
    </w:p>
    <w:p w14:paraId="338EF813" w14:textId="77777777" w:rsidR="00682118" w:rsidRPr="00682118" w:rsidRDefault="00682118" w:rsidP="00BA1192">
      <w:pPr>
        <w:pStyle w:val="Paragraphedeliste"/>
        <w:numPr>
          <w:ilvl w:val="1"/>
          <w:numId w:val="2"/>
        </w:numPr>
        <w:jc w:val="both"/>
        <w:rPr>
          <w:b/>
          <w:color w:val="000000" w:themeColor="text1"/>
        </w:rPr>
      </w:pPr>
      <w:r w:rsidRPr="00682118">
        <w:rPr>
          <w:b/>
          <w:color w:val="000000" w:themeColor="text1"/>
        </w:rPr>
        <w:t>Fréquence hospitalière</w:t>
      </w:r>
    </w:p>
    <w:p w14:paraId="0ECFC427" w14:textId="77777777" w:rsidR="00682118" w:rsidRDefault="00FF18A7" w:rsidP="00BA1192">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Nous avions colligé 359</w:t>
      </w:r>
      <w:r w:rsidR="00DB0BD1" w:rsidRPr="00E6265B">
        <w:rPr>
          <w:rFonts w:ascii="Times New Roman" w:hAnsi="Times New Roman" w:cs="Times New Roman"/>
          <w:sz w:val="24"/>
          <w:szCs w:val="24"/>
        </w:rPr>
        <w:t xml:space="preserve"> patients victimes d’un </w:t>
      </w:r>
      <w:r>
        <w:rPr>
          <w:rFonts w:ascii="Times New Roman" w:hAnsi="Times New Roman" w:cs="Times New Roman"/>
          <w:sz w:val="24"/>
          <w:szCs w:val="24"/>
        </w:rPr>
        <w:t xml:space="preserve">TCE par agression </w:t>
      </w:r>
      <w:proofErr w:type="spellStart"/>
      <w:r>
        <w:rPr>
          <w:rFonts w:ascii="Times New Roman" w:hAnsi="Times New Roman" w:cs="Times New Roman"/>
          <w:sz w:val="24"/>
          <w:szCs w:val="24"/>
        </w:rPr>
        <w:t>parmi</w:t>
      </w:r>
      <w:r w:rsidR="000F77DF" w:rsidRPr="000F77DF">
        <w:rPr>
          <w:rFonts w:ascii="Times New Roman" w:hAnsi="Times New Roman" w:cs="Times New Roman"/>
          <w:sz w:val="24"/>
          <w:szCs w:val="24"/>
        </w:rPr>
        <w:t>le</w:t>
      </w:r>
      <w:r w:rsidR="00C4608A">
        <w:rPr>
          <w:rFonts w:ascii="Times New Roman" w:hAnsi="Times New Roman" w:cs="Times New Roman"/>
          <w:sz w:val="24"/>
          <w:szCs w:val="24"/>
        </w:rPr>
        <w:t>s</w:t>
      </w:r>
      <w:proofErr w:type="spellEnd"/>
      <w:r w:rsidR="00C4608A">
        <w:rPr>
          <w:rFonts w:ascii="Times New Roman" w:hAnsi="Times New Roman" w:cs="Times New Roman"/>
          <w:sz w:val="24"/>
          <w:szCs w:val="24"/>
        </w:rPr>
        <w:t xml:space="preserve"> 899 traumatisés crâniens</w:t>
      </w:r>
      <w:r w:rsidR="000F77DF">
        <w:rPr>
          <w:rFonts w:ascii="Times New Roman" w:hAnsi="Times New Roman" w:cs="Times New Roman"/>
          <w:sz w:val="24"/>
          <w:szCs w:val="24"/>
        </w:rPr>
        <w:t xml:space="preserve"> hospitalisés en 6 ans</w:t>
      </w:r>
      <w:r w:rsidR="00156374">
        <w:rPr>
          <w:rFonts w:ascii="Times New Roman" w:hAnsi="Times New Roman" w:cs="Times New Roman"/>
          <w:sz w:val="24"/>
          <w:szCs w:val="24"/>
        </w:rPr>
        <w:t xml:space="preserve"> soit 40%</w:t>
      </w:r>
      <w:r w:rsidR="000F77DF">
        <w:rPr>
          <w:rFonts w:ascii="Times New Roman" w:hAnsi="Times New Roman" w:cs="Times New Roman"/>
          <w:sz w:val="24"/>
          <w:szCs w:val="24"/>
        </w:rPr>
        <w:t xml:space="preserve">. </w:t>
      </w:r>
      <w:r w:rsidR="00156374">
        <w:rPr>
          <w:rFonts w:ascii="Times New Roman" w:hAnsi="Times New Roman" w:cs="Times New Roman"/>
          <w:sz w:val="24"/>
          <w:szCs w:val="24"/>
        </w:rPr>
        <w:t xml:space="preserve">Parmi les 20043 patients hospitalisés pour toutes causes confondues au CHU </w:t>
      </w:r>
      <w:proofErr w:type="spellStart"/>
      <w:r w:rsidR="00156374">
        <w:rPr>
          <w:rFonts w:ascii="Times New Roman" w:hAnsi="Times New Roman" w:cs="Times New Roman"/>
          <w:sz w:val="24"/>
          <w:szCs w:val="24"/>
        </w:rPr>
        <w:t>Tanambao</w:t>
      </w:r>
      <w:proofErr w:type="spellEnd"/>
      <w:r w:rsidR="00156374">
        <w:rPr>
          <w:rFonts w:ascii="Times New Roman" w:hAnsi="Times New Roman" w:cs="Times New Roman"/>
          <w:sz w:val="24"/>
          <w:szCs w:val="24"/>
        </w:rPr>
        <w:t xml:space="preserve"> I pendant cette période d’étude, les TCE par agression représentaient 1.79%.</w:t>
      </w:r>
    </w:p>
    <w:p w14:paraId="53A4B813" w14:textId="77777777" w:rsidR="00682118" w:rsidRPr="00682118" w:rsidRDefault="00682118" w:rsidP="00BA1192">
      <w:pPr>
        <w:pStyle w:val="Paragraphedeliste"/>
        <w:numPr>
          <w:ilvl w:val="1"/>
          <w:numId w:val="2"/>
        </w:numPr>
        <w:jc w:val="both"/>
        <w:rPr>
          <w:b/>
        </w:rPr>
      </w:pPr>
      <w:r w:rsidRPr="00682118">
        <w:rPr>
          <w:b/>
        </w:rPr>
        <w:lastRenderedPageBreak/>
        <w:t>Genre et âge</w:t>
      </w:r>
    </w:p>
    <w:p w14:paraId="71369BAC" w14:textId="77777777" w:rsidR="00BB4957" w:rsidRDefault="000F77DF" w:rsidP="00BA1192">
      <w:pPr>
        <w:spacing w:line="240" w:lineRule="auto"/>
        <w:ind w:firstLine="360"/>
        <w:jc w:val="both"/>
        <w:rPr>
          <w:rFonts w:ascii="Times New Roman" w:hAnsi="Times New Roman" w:cs="Times New Roman"/>
          <w:sz w:val="24"/>
          <w:szCs w:val="24"/>
        </w:rPr>
      </w:pPr>
      <w:r w:rsidRPr="000F77DF">
        <w:rPr>
          <w:rFonts w:ascii="Times New Roman" w:hAnsi="Times New Roman" w:cs="Times New Roman"/>
          <w:sz w:val="24"/>
          <w:szCs w:val="24"/>
        </w:rPr>
        <w:t xml:space="preserve">Ces patients </w:t>
      </w:r>
      <w:r w:rsidR="00C4608A">
        <w:rPr>
          <w:rFonts w:ascii="Times New Roman" w:hAnsi="Times New Roman" w:cs="Times New Roman"/>
          <w:sz w:val="24"/>
          <w:szCs w:val="24"/>
        </w:rPr>
        <w:t xml:space="preserve">étaient à 79% de genre masculin et à 21% </w:t>
      </w:r>
      <w:r w:rsidRPr="000F77DF">
        <w:rPr>
          <w:rFonts w:ascii="Times New Roman" w:hAnsi="Times New Roman" w:cs="Times New Roman"/>
          <w:sz w:val="24"/>
          <w:szCs w:val="24"/>
        </w:rPr>
        <w:t xml:space="preserve">de </w:t>
      </w:r>
      <w:r w:rsidR="00C4608A">
        <w:rPr>
          <w:rFonts w:ascii="Times New Roman" w:hAnsi="Times New Roman" w:cs="Times New Roman"/>
          <w:sz w:val="24"/>
          <w:szCs w:val="24"/>
        </w:rPr>
        <w:t>genre féminin.</w:t>
      </w:r>
      <w:r w:rsidR="00BB4957">
        <w:rPr>
          <w:rFonts w:ascii="Times New Roman" w:hAnsi="Times New Roman" w:cs="Times New Roman"/>
          <w:sz w:val="24"/>
          <w:szCs w:val="24"/>
        </w:rPr>
        <w:t xml:space="preserve"> La tranche d’âge prédominante des patients victimes de TCE par agression a été comprise entre 20 et 2</w:t>
      </w:r>
      <w:r w:rsidR="00682118">
        <w:rPr>
          <w:rFonts w:ascii="Times New Roman" w:hAnsi="Times New Roman" w:cs="Times New Roman"/>
          <w:sz w:val="24"/>
          <w:szCs w:val="24"/>
        </w:rPr>
        <w:t>9 ans (Tableau 1</w:t>
      </w:r>
      <w:r w:rsidR="00BB4957">
        <w:rPr>
          <w:rFonts w:ascii="Times New Roman" w:hAnsi="Times New Roman" w:cs="Times New Roman"/>
          <w:sz w:val="24"/>
          <w:szCs w:val="24"/>
        </w:rPr>
        <w:t xml:space="preserve">). </w:t>
      </w:r>
    </w:p>
    <w:p w14:paraId="56FF0F77" w14:textId="77777777" w:rsidR="00682118" w:rsidRPr="00682118" w:rsidRDefault="00682118" w:rsidP="00BA1192">
      <w:pPr>
        <w:pStyle w:val="Paragraphedeliste"/>
        <w:numPr>
          <w:ilvl w:val="1"/>
          <w:numId w:val="2"/>
        </w:numPr>
        <w:jc w:val="both"/>
        <w:rPr>
          <w:b/>
        </w:rPr>
      </w:pPr>
      <w:r w:rsidRPr="00682118">
        <w:rPr>
          <w:b/>
        </w:rPr>
        <w:t>Heure et lieu de l’agression</w:t>
      </w:r>
    </w:p>
    <w:p w14:paraId="12013D59" w14:textId="77777777" w:rsidR="00682118" w:rsidRDefault="00036917" w:rsidP="00BA1192">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L’agression a été perpétrée </w:t>
      </w:r>
      <w:r w:rsidR="000F77DF" w:rsidRPr="000F77DF">
        <w:rPr>
          <w:rFonts w:ascii="Times New Roman" w:hAnsi="Times New Roman" w:cs="Times New Roman"/>
          <w:sz w:val="24"/>
          <w:szCs w:val="24"/>
        </w:rPr>
        <w:t>surtout le week-end (34%) entre 22h et 04h du mati</w:t>
      </w:r>
      <w:r>
        <w:rPr>
          <w:rFonts w:ascii="Times New Roman" w:hAnsi="Times New Roman" w:cs="Times New Roman"/>
          <w:sz w:val="24"/>
          <w:szCs w:val="24"/>
        </w:rPr>
        <w:t xml:space="preserve">n (35%) et </w:t>
      </w:r>
      <w:r w:rsidR="000F77DF" w:rsidRPr="000F77DF">
        <w:rPr>
          <w:rFonts w:ascii="Times New Roman" w:hAnsi="Times New Roman" w:cs="Times New Roman"/>
          <w:sz w:val="24"/>
          <w:szCs w:val="24"/>
        </w:rPr>
        <w:t>en milieu urbain (48%)</w:t>
      </w:r>
      <w:r>
        <w:rPr>
          <w:rFonts w:ascii="Times New Roman" w:hAnsi="Times New Roman" w:cs="Times New Roman"/>
          <w:sz w:val="24"/>
          <w:szCs w:val="24"/>
        </w:rPr>
        <w:t>.</w:t>
      </w:r>
    </w:p>
    <w:p w14:paraId="549B2F23" w14:textId="77777777" w:rsidR="00682118" w:rsidRPr="00682118" w:rsidRDefault="00682118" w:rsidP="00BA1192">
      <w:pPr>
        <w:pStyle w:val="Paragraphedeliste"/>
        <w:numPr>
          <w:ilvl w:val="1"/>
          <w:numId w:val="2"/>
        </w:numPr>
        <w:jc w:val="both"/>
        <w:rPr>
          <w:b/>
        </w:rPr>
      </w:pPr>
      <w:r w:rsidRPr="00682118">
        <w:rPr>
          <w:b/>
        </w:rPr>
        <w:t>Circonstance de l’agression</w:t>
      </w:r>
      <w:r w:rsidR="007E1BA6">
        <w:rPr>
          <w:b/>
        </w:rPr>
        <w:t xml:space="preserve"> et l’agent vulnérant</w:t>
      </w:r>
    </w:p>
    <w:p w14:paraId="606C2735" w14:textId="77777777" w:rsidR="00036917" w:rsidRDefault="00036917" w:rsidP="00BA1192">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La circonstance de l’agression a été largement dominée par la </w:t>
      </w:r>
      <w:r w:rsidR="000F77DF" w:rsidRPr="000F77DF">
        <w:rPr>
          <w:rFonts w:ascii="Times New Roman" w:hAnsi="Times New Roman" w:cs="Times New Roman"/>
          <w:sz w:val="24"/>
          <w:szCs w:val="24"/>
        </w:rPr>
        <w:t xml:space="preserve">bagarre (52%) </w:t>
      </w:r>
      <w:r w:rsidR="000A46E6">
        <w:rPr>
          <w:rFonts w:ascii="Times New Roman" w:hAnsi="Times New Roman" w:cs="Times New Roman"/>
          <w:sz w:val="24"/>
          <w:szCs w:val="24"/>
        </w:rPr>
        <w:t>et ensuite au cours</w:t>
      </w:r>
      <w:r w:rsidR="000A46E6" w:rsidRPr="000F77DF">
        <w:rPr>
          <w:rFonts w:ascii="Times New Roman" w:hAnsi="Times New Roman" w:cs="Times New Roman"/>
          <w:sz w:val="24"/>
          <w:szCs w:val="24"/>
        </w:rPr>
        <w:t xml:space="preserve"> d’un cambriolage (29%)</w:t>
      </w:r>
      <w:r w:rsidR="00682118">
        <w:rPr>
          <w:rFonts w:ascii="Times New Roman" w:hAnsi="Times New Roman" w:cs="Times New Roman"/>
          <w:sz w:val="24"/>
          <w:szCs w:val="24"/>
        </w:rPr>
        <w:t xml:space="preserve"> (Tableau 2)</w:t>
      </w:r>
      <w:r w:rsidR="00197383">
        <w:rPr>
          <w:rFonts w:ascii="Times New Roman" w:hAnsi="Times New Roman" w:cs="Times New Roman"/>
          <w:sz w:val="24"/>
          <w:szCs w:val="24"/>
        </w:rPr>
        <w:t xml:space="preserve">. </w:t>
      </w:r>
      <w:r w:rsidR="000A46E6">
        <w:rPr>
          <w:rFonts w:ascii="Times New Roman" w:hAnsi="Times New Roman" w:cs="Times New Roman"/>
          <w:sz w:val="24"/>
          <w:szCs w:val="24"/>
        </w:rPr>
        <w:t xml:space="preserve">Les patients victimes d’agression </w:t>
      </w:r>
      <w:proofErr w:type="gramStart"/>
      <w:r w:rsidR="000A46E6">
        <w:rPr>
          <w:rFonts w:ascii="Times New Roman" w:hAnsi="Times New Roman" w:cs="Times New Roman"/>
          <w:sz w:val="24"/>
          <w:szCs w:val="24"/>
        </w:rPr>
        <w:t>ont  pris</w:t>
      </w:r>
      <w:proofErr w:type="gramEnd"/>
      <w:r w:rsidR="000A46E6">
        <w:rPr>
          <w:rFonts w:ascii="Times New Roman" w:hAnsi="Times New Roman" w:cs="Times New Roman"/>
          <w:sz w:val="24"/>
          <w:szCs w:val="24"/>
        </w:rPr>
        <w:t xml:space="preserve"> de l</w:t>
      </w:r>
      <w:r w:rsidR="000F77DF" w:rsidRPr="000F77DF">
        <w:rPr>
          <w:rFonts w:ascii="Times New Roman" w:hAnsi="Times New Roman" w:cs="Times New Roman"/>
          <w:sz w:val="24"/>
          <w:szCs w:val="24"/>
        </w:rPr>
        <w:t xml:space="preserve">’alcool </w:t>
      </w:r>
      <w:r w:rsidR="000A46E6">
        <w:rPr>
          <w:rFonts w:ascii="Times New Roman" w:hAnsi="Times New Roman" w:cs="Times New Roman"/>
          <w:sz w:val="24"/>
          <w:szCs w:val="24"/>
        </w:rPr>
        <w:t>au moment de l’agression dans 40% des cas. L’utilisation d’</w:t>
      </w:r>
      <w:r w:rsidR="000F77DF" w:rsidRPr="000F77DF">
        <w:rPr>
          <w:rFonts w:ascii="Times New Roman" w:hAnsi="Times New Roman" w:cs="Times New Roman"/>
          <w:sz w:val="24"/>
          <w:szCs w:val="24"/>
        </w:rPr>
        <w:t xml:space="preserve">un agent contondant </w:t>
      </w:r>
      <w:r w:rsidR="000A46E6">
        <w:rPr>
          <w:rFonts w:ascii="Times New Roman" w:hAnsi="Times New Roman" w:cs="Times New Roman"/>
          <w:sz w:val="24"/>
          <w:szCs w:val="24"/>
        </w:rPr>
        <w:t>a été observée dans 69% de cas et d’arme blanche dans 5%</w:t>
      </w:r>
      <w:r w:rsidR="00682118">
        <w:rPr>
          <w:rFonts w:ascii="Times New Roman" w:hAnsi="Times New Roman" w:cs="Times New Roman"/>
          <w:sz w:val="24"/>
          <w:szCs w:val="24"/>
        </w:rPr>
        <w:t>(Tableau 3</w:t>
      </w:r>
      <w:r w:rsidR="00197383">
        <w:rPr>
          <w:rFonts w:ascii="Times New Roman" w:hAnsi="Times New Roman" w:cs="Times New Roman"/>
          <w:sz w:val="24"/>
          <w:szCs w:val="24"/>
        </w:rPr>
        <w:t>).</w:t>
      </w:r>
    </w:p>
    <w:p w14:paraId="3028FFC3" w14:textId="77777777" w:rsidR="00036917" w:rsidRPr="00682118" w:rsidRDefault="00036917" w:rsidP="00BA1192">
      <w:pPr>
        <w:pStyle w:val="Paragraphedeliste"/>
        <w:numPr>
          <w:ilvl w:val="0"/>
          <w:numId w:val="2"/>
        </w:numPr>
        <w:jc w:val="both"/>
        <w:rPr>
          <w:b/>
        </w:rPr>
      </w:pPr>
      <w:r w:rsidRPr="00682118">
        <w:rPr>
          <w:b/>
        </w:rPr>
        <w:t>Paramètres cliniques</w:t>
      </w:r>
      <w:r w:rsidR="006C4C7F">
        <w:rPr>
          <w:b/>
        </w:rPr>
        <w:t xml:space="preserve"> et morphologiques</w:t>
      </w:r>
    </w:p>
    <w:p w14:paraId="2FE897B5" w14:textId="77777777" w:rsidR="00427565" w:rsidRDefault="006C4C7F" w:rsidP="00BA1192">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Dans tous les cas, d</w:t>
      </w:r>
      <w:r w:rsidR="000F77DF" w:rsidRPr="000F77DF">
        <w:rPr>
          <w:rFonts w:ascii="Times New Roman" w:hAnsi="Times New Roman" w:cs="Times New Roman"/>
          <w:sz w:val="24"/>
          <w:szCs w:val="24"/>
        </w:rPr>
        <w:t xml:space="preserve">es lésions du scalp </w:t>
      </w:r>
      <w:r>
        <w:rPr>
          <w:rFonts w:ascii="Times New Roman" w:hAnsi="Times New Roman" w:cs="Times New Roman"/>
          <w:sz w:val="24"/>
          <w:szCs w:val="24"/>
        </w:rPr>
        <w:t>étaient toujours présentes. L</w:t>
      </w:r>
      <w:r w:rsidR="000F77DF" w:rsidRPr="000F77DF">
        <w:rPr>
          <w:rFonts w:ascii="Times New Roman" w:hAnsi="Times New Roman" w:cs="Times New Roman"/>
          <w:sz w:val="24"/>
          <w:szCs w:val="24"/>
        </w:rPr>
        <w:t xml:space="preserve">es agressions occasionnaient des lésions crâniennes </w:t>
      </w:r>
      <w:proofErr w:type="gramStart"/>
      <w:r w:rsidR="000F77DF" w:rsidRPr="000F77DF">
        <w:rPr>
          <w:rFonts w:ascii="Times New Roman" w:hAnsi="Times New Roman" w:cs="Times New Roman"/>
          <w:sz w:val="24"/>
          <w:szCs w:val="24"/>
        </w:rPr>
        <w:t>et  intracrâniennes</w:t>
      </w:r>
      <w:proofErr w:type="gramEnd"/>
      <w:r w:rsidR="000F77DF" w:rsidRPr="000F77DF">
        <w:rPr>
          <w:rFonts w:ascii="Times New Roman" w:hAnsi="Times New Roman" w:cs="Times New Roman"/>
          <w:sz w:val="24"/>
          <w:szCs w:val="24"/>
        </w:rPr>
        <w:t xml:space="preserve"> dans 86% de cas </w:t>
      </w:r>
      <w:r w:rsidR="00C649C3">
        <w:rPr>
          <w:rFonts w:ascii="Times New Roman" w:hAnsi="Times New Roman" w:cs="Times New Roman"/>
          <w:sz w:val="24"/>
          <w:szCs w:val="24"/>
        </w:rPr>
        <w:t xml:space="preserve">parmi les </w:t>
      </w:r>
      <w:r w:rsidR="005005CA">
        <w:rPr>
          <w:rFonts w:ascii="Times New Roman" w:hAnsi="Times New Roman" w:cs="Times New Roman"/>
          <w:sz w:val="24"/>
          <w:szCs w:val="24"/>
        </w:rPr>
        <w:t>172</w:t>
      </w:r>
      <w:r w:rsidR="00C649C3">
        <w:rPr>
          <w:rFonts w:ascii="Times New Roman" w:hAnsi="Times New Roman" w:cs="Times New Roman"/>
          <w:sz w:val="24"/>
          <w:szCs w:val="24"/>
        </w:rPr>
        <w:t>des patients bénéficiant du scanner cérébral</w:t>
      </w:r>
      <w:r w:rsidR="006D1449">
        <w:rPr>
          <w:rFonts w:ascii="Times New Roman" w:hAnsi="Times New Roman" w:cs="Times New Roman"/>
          <w:sz w:val="24"/>
          <w:szCs w:val="24"/>
        </w:rPr>
        <w:t xml:space="preserve"> (</w:t>
      </w:r>
      <w:r w:rsidR="005005CA">
        <w:rPr>
          <w:rFonts w:ascii="Times New Roman" w:hAnsi="Times New Roman" w:cs="Times New Roman"/>
          <w:sz w:val="24"/>
          <w:szCs w:val="24"/>
        </w:rPr>
        <w:t>48</w:t>
      </w:r>
      <w:r w:rsidR="006D1449">
        <w:rPr>
          <w:rFonts w:ascii="Times New Roman" w:hAnsi="Times New Roman" w:cs="Times New Roman"/>
          <w:sz w:val="24"/>
          <w:szCs w:val="24"/>
        </w:rPr>
        <w:t>%)</w:t>
      </w:r>
      <w:r w:rsidR="00C649C3">
        <w:rPr>
          <w:rFonts w:ascii="Times New Roman" w:hAnsi="Times New Roman" w:cs="Times New Roman"/>
          <w:sz w:val="24"/>
          <w:szCs w:val="24"/>
        </w:rPr>
        <w:t xml:space="preserve">, </w:t>
      </w:r>
      <w:r w:rsidR="000F77DF" w:rsidRPr="000F77DF">
        <w:rPr>
          <w:rFonts w:ascii="Times New Roman" w:hAnsi="Times New Roman" w:cs="Times New Roman"/>
          <w:sz w:val="24"/>
          <w:szCs w:val="24"/>
        </w:rPr>
        <w:t xml:space="preserve">dont des fractures crâniennes (47%) </w:t>
      </w:r>
      <w:r>
        <w:rPr>
          <w:rFonts w:ascii="Times New Roman" w:hAnsi="Times New Roman" w:cs="Times New Roman"/>
          <w:sz w:val="24"/>
          <w:szCs w:val="24"/>
        </w:rPr>
        <w:t>(Tableau 4) de</w:t>
      </w:r>
      <w:r w:rsidR="000F77DF" w:rsidRPr="000F77DF">
        <w:rPr>
          <w:rFonts w:ascii="Times New Roman" w:hAnsi="Times New Roman" w:cs="Times New Roman"/>
          <w:sz w:val="24"/>
          <w:szCs w:val="24"/>
        </w:rPr>
        <w:t xml:space="preserve"> la </w:t>
      </w:r>
      <w:r>
        <w:rPr>
          <w:rFonts w:ascii="Times New Roman" w:hAnsi="Times New Roman" w:cs="Times New Roman"/>
          <w:sz w:val="24"/>
          <w:szCs w:val="24"/>
        </w:rPr>
        <w:t>voute (41%</w:t>
      </w:r>
      <w:r w:rsidR="000F77DF" w:rsidRPr="000F77DF">
        <w:rPr>
          <w:rFonts w:ascii="Times New Roman" w:hAnsi="Times New Roman" w:cs="Times New Roman"/>
          <w:sz w:val="24"/>
          <w:szCs w:val="24"/>
        </w:rPr>
        <w:t xml:space="preserve">) et de la base (6%) et des lésions intracrâniennes (48%) </w:t>
      </w:r>
      <w:r>
        <w:rPr>
          <w:rFonts w:ascii="Times New Roman" w:hAnsi="Times New Roman" w:cs="Times New Roman"/>
          <w:sz w:val="24"/>
          <w:szCs w:val="24"/>
        </w:rPr>
        <w:t xml:space="preserve">(Tableau 5) </w:t>
      </w:r>
      <w:r w:rsidR="000F77DF" w:rsidRPr="000F77DF">
        <w:rPr>
          <w:rFonts w:ascii="Times New Roman" w:hAnsi="Times New Roman" w:cs="Times New Roman"/>
          <w:sz w:val="24"/>
          <w:szCs w:val="24"/>
        </w:rPr>
        <w:t xml:space="preserve">tels que les hématomes (29%) et les contusions </w:t>
      </w:r>
      <w:proofErr w:type="spellStart"/>
      <w:r w:rsidR="000F77DF" w:rsidRPr="000F77DF">
        <w:rPr>
          <w:rFonts w:ascii="Times New Roman" w:hAnsi="Times New Roman" w:cs="Times New Roman"/>
          <w:sz w:val="24"/>
          <w:szCs w:val="24"/>
        </w:rPr>
        <w:t>œdémato</w:t>
      </w:r>
      <w:proofErr w:type="spellEnd"/>
      <w:r w:rsidR="000F77DF" w:rsidRPr="000F77DF">
        <w:rPr>
          <w:rFonts w:ascii="Times New Roman" w:hAnsi="Times New Roman" w:cs="Times New Roman"/>
          <w:sz w:val="24"/>
          <w:szCs w:val="24"/>
        </w:rPr>
        <w:t xml:space="preserve">-hémorragiques (19%). Les hématomes étaient extraduraux (56%), sous duraux aigus (19%), et chroniques (11%), méningés et intraventriculaires (17%). Les </w:t>
      </w:r>
      <w:proofErr w:type="gramStart"/>
      <w:r w:rsidR="000F77DF" w:rsidRPr="000F77DF">
        <w:rPr>
          <w:rFonts w:ascii="Times New Roman" w:hAnsi="Times New Roman" w:cs="Times New Roman"/>
          <w:sz w:val="24"/>
          <w:szCs w:val="24"/>
        </w:rPr>
        <w:t>localisations  lésionnelles</w:t>
      </w:r>
      <w:proofErr w:type="gramEnd"/>
      <w:r w:rsidR="000F77DF" w:rsidRPr="000F77DF">
        <w:rPr>
          <w:rFonts w:ascii="Times New Roman" w:hAnsi="Times New Roman" w:cs="Times New Roman"/>
          <w:sz w:val="24"/>
          <w:szCs w:val="24"/>
        </w:rPr>
        <w:t xml:space="preserve"> étaient plus pariétales (28%) que frontales (18%) et temporales (15%). </w:t>
      </w:r>
    </w:p>
    <w:p w14:paraId="0910D99E" w14:textId="77777777" w:rsidR="00003A51" w:rsidRPr="00E6265B" w:rsidRDefault="00003A51" w:rsidP="00BA1192">
      <w:pPr>
        <w:spacing w:line="240" w:lineRule="auto"/>
        <w:jc w:val="both"/>
        <w:rPr>
          <w:rFonts w:ascii="Times New Roman" w:hAnsi="Times New Roman" w:cs="Times New Roman"/>
          <w:sz w:val="24"/>
          <w:szCs w:val="24"/>
        </w:rPr>
      </w:pPr>
    </w:p>
    <w:p w14:paraId="66793439" w14:textId="77777777" w:rsidR="00003A51" w:rsidRPr="00213806" w:rsidRDefault="00FB42A3" w:rsidP="00BA1192">
      <w:pPr>
        <w:spacing w:line="240" w:lineRule="auto"/>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fr-FR"/>
        </w:rPr>
        <w:pict w14:anchorId="50D6F9CF">
          <v:shape id="_x0000_s1031" type="#_x0000_t32" style="position:absolute;left:0;text-align:left;margin-left:77.65pt;margin-top:7.05pt;width:373.5pt;height:0;z-index:251662336" o:connectortype="straight" strokecolor="#002060" strokeweight="1pt"/>
        </w:pict>
      </w:r>
      <w:r w:rsidR="00003A51" w:rsidRPr="00213806">
        <w:rPr>
          <w:rFonts w:ascii="Times New Roman" w:hAnsi="Times New Roman" w:cs="Times New Roman"/>
          <w:b/>
          <w:color w:val="002060"/>
          <w:sz w:val="24"/>
          <w:szCs w:val="24"/>
        </w:rPr>
        <w:t>DISCUSSION</w:t>
      </w:r>
    </w:p>
    <w:p w14:paraId="52D566E4" w14:textId="77777777" w:rsidR="00514F94" w:rsidRDefault="00514F94" w:rsidP="00BA1192">
      <w:pPr>
        <w:pStyle w:val="Paragraphedeliste"/>
        <w:numPr>
          <w:ilvl w:val="0"/>
          <w:numId w:val="3"/>
        </w:numPr>
        <w:jc w:val="both"/>
        <w:rPr>
          <w:b/>
        </w:rPr>
      </w:pPr>
      <w:r w:rsidRPr="00682118">
        <w:rPr>
          <w:b/>
        </w:rPr>
        <w:t>Paramètres épidémiologiques</w:t>
      </w:r>
    </w:p>
    <w:p w14:paraId="5FD92027" w14:textId="77777777" w:rsidR="00514F94" w:rsidRPr="00682118" w:rsidRDefault="00514F94" w:rsidP="00BA1192">
      <w:pPr>
        <w:pStyle w:val="Paragraphedeliste"/>
        <w:jc w:val="both"/>
        <w:rPr>
          <w:b/>
        </w:rPr>
      </w:pPr>
    </w:p>
    <w:p w14:paraId="27B36484" w14:textId="77777777" w:rsidR="00AA21EB" w:rsidRDefault="00514F94" w:rsidP="00BA1192">
      <w:pPr>
        <w:pStyle w:val="Paragraphedeliste"/>
        <w:numPr>
          <w:ilvl w:val="1"/>
          <w:numId w:val="3"/>
        </w:numPr>
        <w:jc w:val="both"/>
        <w:rPr>
          <w:b/>
          <w:color w:val="000000" w:themeColor="text1"/>
        </w:rPr>
      </w:pPr>
      <w:r w:rsidRPr="00682118">
        <w:rPr>
          <w:b/>
          <w:color w:val="000000" w:themeColor="text1"/>
        </w:rPr>
        <w:t>Fréquence hospitalière</w:t>
      </w:r>
    </w:p>
    <w:p w14:paraId="2823E875" w14:textId="77777777" w:rsidR="00AA21EB" w:rsidRPr="00AA21EB" w:rsidRDefault="00AA21EB" w:rsidP="00BA1192">
      <w:pPr>
        <w:pStyle w:val="Paragraphedeliste"/>
        <w:jc w:val="both"/>
        <w:rPr>
          <w:b/>
          <w:color w:val="000000" w:themeColor="text1"/>
        </w:rPr>
      </w:pPr>
    </w:p>
    <w:p w14:paraId="04999571" w14:textId="77777777" w:rsidR="00AA21EB" w:rsidRDefault="00AA21EB" w:rsidP="00BA1192">
      <w:pPr>
        <w:spacing w:line="240" w:lineRule="auto"/>
        <w:ind w:firstLine="360"/>
        <w:jc w:val="both"/>
        <w:rPr>
          <w:rFonts w:ascii="Times New Roman" w:hAnsi="Times New Roman" w:cs="Times New Roman"/>
          <w:sz w:val="24"/>
          <w:szCs w:val="24"/>
        </w:rPr>
      </w:pPr>
      <w:r w:rsidRPr="00AA21EB">
        <w:rPr>
          <w:rFonts w:ascii="Times New Roman" w:hAnsi="Times New Roman" w:cs="Times New Roman"/>
          <w:sz w:val="24"/>
          <w:szCs w:val="24"/>
        </w:rPr>
        <w:lastRenderedPageBreak/>
        <w:t>Une étude réalisée en Inde par Sharma, et al a montré que les TCE représentaient env</w:t>
      </w:r>
      <w:r w:rsidR="009C4C5C">
        <w:rPr>
          <w:rFonts w:ascii="Times New Roman" w:hAnsi="Times New Roman" w:cs="Times New Roman"/>
          <w:sz w:val="24"/>
          <w:szCs w:val="24"/>
        </w:rPr>
        <w:t>iron 1</w:t>
      </w:r>
      <w:r w:rsidRPr="00AA21EB">
        <w:rPr>
          <w:rFonts w:ascii="Times New Roman" w:hAnsi="Times New Roman" w:cs="Times New Roman"/>
          <w:sz w:val="24"/>
          <w:szCs w:val="24"/>
        </w:rPr>
        <w:t xml:space="preserve">% de toutes les admissions hospitalières, dont 30 % </w:t>
      </w:r>
      <w:r w:rsidR="0010479C">
        <w:rPr>
          <w:rFonts w:ascii="Times New Roman" w:hAnsi="Times New Roman" w:cs="Times New Roman"/>
          <w:sz w:val="24"/>
          <w:szCs w:val="24"/>
        </w:rPr>
        <w:t>étaient dus à des agressions (</w:t>
      </w:r>
      <w:r w:rsidR="009C4C5C">
        <w:rPr>
          <w:rFonts w:ascii="Times New Roman" w:hAnsi="Times New Roman" w:cs="Times New Roman"/>
          <w:sz w:val="24"/>
          <w:szCs w:val="24"/>
        </w:rPr>
        <w:t>8</w:t>
      </w:r>
      <w:r w:rsidR="0010479C">
        <w:rPr>
          <w:rFonts w:ascii="Times New Roman" w:hAnsi="Times New Roman" w:cs="Times New Roman"/>
          <w:sz w:val="24"/>
          <w:szCs w:val="24"/>
        </w:rPr>
        <w:t>)</w:t>
      </w:r>
      <w:r w:rsidRPr="00AA21EB">
        <w:rPr>
          <w:rFonts w:ascii="Times New Roman" w:hAnsi="Times New Roman" w:cs="Times New Roman"/>
          <w:sz w:val="24"/>
          <w:szCs w:val="24"/>
        </w:rPr>
        <w:t>. Une autre étude menée au Brésil dans une ville de taille moyenne a révélé que les TCE par agression représentaient 1,5 % de tout</w:t>
      </w:r>
      <w:r w:rsidR="00DD347D">
        <w:rPr>
          <w:rFonts w:ascii="Times New Roman" w:hAnsi="Times New Roman" w:cs="Times New Roman"/>
          <w:sz w:val="24"/>
          <w:szCs w:val="24"/>
        </w:rPr>
        <w:t xml:space="preserve">es les admissions hospitalières </w:t>
      </w:r>
      <w:r w:rsidR="0010479C">
        <w:rPr>
          <w:rFonts w:ascii="Times New Roman" w:hAnsi="Times New Roman" w:cs="Times New Roman"/>
          <w:sz w:val="24"/>
          <w:szCs w:val="24"/>
        </w:rPr>
        <w:t>(</w:t>
      </w:r>
      <w:r w:rsidR="009C4C5C">
        <w:rPr>
          <w:rFonts w:ascii="Times New Roman" w:hAnsi="Times New Roman" w:cs="Times New Roman"/>
          <w:sz w:val="24"/>
          <w:szCs w:val="24"/>
        </w:rPr>
        <w:t>9</w:t>
      </w:r>
      <w:r w:rsidR="0010479C">
        <w:rPr>
          <w:rFonts w:ascii="Times New Roman" w:hAnsi="Times New Roman" w:cs="Times New Roman"/>
          <w:sz w:val="24"/>
          <w:szCs w:val="24"/>
        </w:rPr>
        <w:t>)</w:t>
      </w:r>
      <w:r w:rsidRPr="00AA21EB">
        <w:rPr>
          <w:rFonts w:ascii="Times New Roman" w:hAnsi="Times New Roman" w:cs="Times New Roman"/>
          <w:sz w:val="24"/>
          <w:szCs w:val="24"/>
        </w:rPr>
        <w:t xml:space="preserve">. </w:t>
      </w:r>
      <w:r w:rsidR="00DD347D" w:rsidRPr="00DD347D">
        <w:rPr>
          <w:rFonts w:ascii="Times New Roman" w:hAnsi="Times New Roman" w:cs="Times New Roman"/>
          <w:sz w:val="24"/>
          <w:szCs w:val="24"/>
        </w:rPr>
        <w:t>Notre étude montre une prévalence relativement élevée des TCE par agression</w:t>
      </w:r>
      <w:r w:rsidR="00DD347D">
        <w:rPr>
          <w:rFonts w:ascii="Times New Roman" w:hAnsi="Times New Roman" w:cs="Times New Roman"/>
          <w:sz w:val="24"/>
          <w:szCs w:val="24"/>
        </w:rPr>
        <w:t xml:space="preserve"> (1,79%)</w:t>
      </w:r>
      <w:r w:rsidR="00DD347D" w:rsidRPr="00DD347D">
        <w:rPr>
          <w:rFonts w:ascii="Times New Roman" w:hAnsi="Times New Roman" w:cs="Times New Roman"/>
          <w:sz w:val="24"/>
          <w:szCs w:val="24"/>
        </w:rPr>
        <w:t xml:space="preserve">. Cette différence pourrait s'expliquer par une exposition accrue à la violence interpersonnelle dans la région d'Antsiranana notamment avec le phénomène de « </w:t>
      </w:r>
      <w:proofErr w:type="spellStart"/>
      <w:r w:rsidR="00DD347D" w:rsidRPr="00DD347D">
        <w:rPr>
          <w:rFonts w:ascii="Times New Roman" w:hAnsi="Times New Roman" w:cs="Times New Roman"/>
          <w:sz w:val="24"/>
          <w:szCs w:val="24"/>
        </w:rPr>
        <w:t>foroche</w:t>
      </w:r>
      <w:proofErr w:type="spellEnd"/>
      <w:r w:rsidR="00DD347D" w:rsidRPr="00DD347D">
        <w:rPr>
          <w:rFonts w:ascii="Times New Roman" w:hAnsi="Times New Roman" w:cs="Times New Roman"/>
          <w:sz w:val="24"/>
          <w:szCs w:val="24"/>
        </w:rPr>
        <w:t xml:space="preserve"> »</w:t>
      </w:r>
      <w:r w:rsidR="00DD347D">
        <w:rPr>
          <w:rFonts w:ascii="Times New Roman" w:hAnsi="Times New Roman" w:cs="Times New Roman"/>
          <w:sz w:val="24"/>
          <w:szCs w:val="24"/>
        </w:rPr>
        <w:t xml:space="preserve"> né depuis 2007</w:t>
      </w:r>
      <w:r w:rsidR="00DD347D" w:rsidRPr="00DD347D">
        <w:rPr>
          <w:rFonts w:ascii="Times New Roman" w:hAnsi="Times New Roman" w:cs="Times New Roman"/>
          <w:sz w:val="24"/>
          <w:szCs w:val="24"/>
        </w:rPr>
        <w:t>, terme spécifique d’Antsiranana Madagascar qui désigne une bande d’adolescents délinquants impliqués dans les activités délictueuses.</w:t>
      </w:r>
    </w:p>
    <w:p w14:paraId="1306C7BA" w14:textId="77777777" w:rsidR="00E1200B" w:rsidRDefault="00514F94" w:rsidP="00BA1192">
      <w:pPr>
        <w:pStyle w:val="Paragraphedeliste"/>
        <w:numPr>
          <w:ilvl w:val="1"/>
          <w:numId w:val="3"/>
        </w:numPr>
        <w:jc w:val="both"/>
        <w:rPr>
          <w:b/>
        </w:rPr>
      </w:pPr>
      <w:r w:rsidRPr="00682118">
        <w:rPr>
          <w:b/>
        </w:rPr>
        <w:t>Genre et âge</w:t>
      </w:r>
    </w:p>
    <w:p w14:paraId="0628DC7A" w14:textId="77777777" w:rsidR="00E1200B" w:rsidRPr="00E1200B" w:rsidRDefault="00E1200B" w:rsidP="00BA1192">
      <w:pPr>
        <w:pStyle w:val="Paragraphedeliste"/>
        <w:jc w:val="both"/>
        <w:rPr>
          <w:b/>
        </w:rPr>
      </w:pPr>
    </w:p>
    <w:p w14:paraId="689EE6BF" w14:textId="77777777" w:rsidR="00514F94" w:rsidRDefault="00E1200B" w:rsidP="00BA1192">
      <w:pPr>
        <w:spacing w:line="240" w:lineRule="auto"/>
        <w:ind w:firstLine="360"/>
        <w:jc w:val="both"/>
        <w:rPr>
          <w:rFonts w:ascii="Times New Roman" w:hAnsi="Times New Roman" w:cs="Times New Roman"/>
          <w:sz w:val="24"/>
          <w:szCs w:val="24"/>
        </w:rPr>
      </w:pPr>
      <w:r w:rsidRPr="00E1200B">
        <w:rPr>
          <w:rFonts w:ascii="Times New Roman" w:hAnsi="Times New Roman" w:cs="Times New Roman"/>
          <w:sz w:val="24"/>
          <w:szCs w:val="24"/>
        </w:rPr>
        <w:t>Une étude similaire</w:t>
      </w:r>
      <w:r>
        <w:rPr>
          <w:rFonts w:ascii="Times New Roman" w:hAnsi="Times New Roman" w:cs="Times New Roman"/>
          <w:sz w:val="24"/>
          <w:szCs w:val="24"/>
        </w:rPr>
        <w:t xml:space="preserve"> à la nôtre,</w:t>
      </w:r>
      <w:r w:rsidRPr="00E1200B">
        <w:rPr>
          <w:rFonts w:ascii="Times New Roman" w:hAnsi="Times New Roman" w:cs="Times New Roman"/>
          <w:sz w:val="24"/>
          <w:szCs w:val="24"/>
        </w:rPr>
        <w:t xml:space="preserve"> menée au service de neurochirurgie du CHU Gabriel Touré de Bamako en 2021 rapportait une prédominance de la tranche 18-29 ans avec un taux légèrement infér</w:t>
      </w:r>
      <w:r w:rsidR="0010479C">
        <w:rPr>
          <w:rFonts w:ascii="Times New Roman" w:hAnsi="Times New Roman" w:cs="Times New Roman"/>
          <w:sz w:val="24"/>
          <w:szCs w:val="24"/>
        </w:rPr>
        <w:t>ieur au notre, soit de 43,5% (</w:t>
      </w:r>
      <w:r w:rsidR="00A65A01">
        <w:rPr>
          <w:rFonts w:ascii="Times New Roman" w:hAnsi="Times New Roman" w:cs="Times New Roman"/>
          <w:sz w:val="24"/>
          <w:szCs w:val="24"/>
        </w:rPr>
        <w:t>10</w:t>
      </w:r>
      <w:r w:rsidR="0010479C">
        <w:rPr>
          <w:rFonts w:ascii="Times New Roman" w:hAnsi="Times New Roman" w:cs="Times New Roman"/>
          <w:sz w:val="24"/>
          <w:szCs w:val="24"/>
        </w:rPr>
        <w:t>)</w:t>
      </w:r>
      <w:r w:rsidRPr="00E1200B">
        <w:rPr>
          <w:rFonts w:ascii="Times New Roman" w:hAnsi="Times New Roman" w:cs="Times New Roman"/>
          <w:sz w:val="24"/>
          <w:szCs w:val="24"/>
        </w:rPr>
        <w:t xml:space="preserve">. Une autre étude réalisée au Nigéria par </w:t>
      </w:r>
      <w:proofErr w:type="spellStart"/>
      <w:r w:rsidRPr="00E1200B">
        <w:rPr>
          <w:rFonts w:ascii="Times New Roman" w:hAnsi="Times New Roman" w:cs="Times New Roman"/>
          <w:sz w:val="24"/>
          <w:szCs w:val="24"/>
        </w:rPr>
        <w:t>Ige</w:t>
      </w:r>
      <w:proofErr w:type="spellEnd"/>
      <w:r w:rsidRPr="00E1200B">
        <w:rPr>
          <w:rFonts w:ascii="Times New Roman" w:hAnsi="Times New Roman" w:cs="Times New Roman"/>
          <w:sz w:val="24"/>
          <w:szCs w:val="24"/>
        </w:rPr>
        <w:t xml:space="preserve"> et al. </w:t>
      </w:r>
      <w:proofErr w:type="gramStart"/>
      <w:r w:rsidRPr="00E1200B">
        <w:rPr>
          <w:rFonts w:ascii="Times New Roman" w:hAnsi="Times New Roman" w:cs="Times New Roman"/>
          <w:sz w:val="24"/>
          <w:szCs w:val="24"/>
        </w:rPr>
        <w:t>en</w:t>
      </w:r>
      <w:proofErr w:type="gramEnd"/>
      <w:r w:rsidRPr="00E1200B">
        <w:rPr>
          <w:rFonts w:ascii="Times New Roman" w:hAnsi="Times New Roman" w:cs="Times New Roman"/>
          <w:sz w:val="24"/>
          <w:szCs w:val="24"/>
        </w:rPr>
        <w:t xml:space="preserve"> 2013 a également retrouvé une prépondérance des jeunes adultes dans les cas de traumatismes crâniens, avec une tranche d'âge majoritaire de 21 à 30 an</w:t>
      </w:r>
      <w:r w:rsidR="00A65A01">
        <w:rPr>
          <w:rFonts w:ascii="Times New Roman" w:hAnsi="Times New Roman" w:cs="Times New Roman"/>
          <w:sz w:val="24"/>
          <w:szCs w:val="24"/>
        </w:rPr>
        <w:t>s</w:t>
      </w:r>
      <w:r w:rsidR="0010479C">
        <w:rPr>
          <w:rFonts w:ascii="Times New Roman" w:hAnsi="Times New Roman" w:cs="Times New Roman"/>
          <w:sz w:val="24"/>
          <w:szCs w:val="24"/>
        </w:rPr>
        <w:t>(</w:t>
      </w:r>
      <w:r w:rsidR="00A65A01">
        <w:rPr>
          <w:rFonts w:ascii="Times New Roman" w:hAnsi="Times New Roman" w:cs="Times New Roman"/>
          <w:sz w:val="24"/>
          <w:szCs w:val="24"/>
        </w:rPr>
        <w:t>1</w:t>
      </w:r>
      <w:r w:rsidR="0010479C">
        <w:rPr>
          <w:rFonts w:ascii="Times New Roman" w:hAnsi="Times New Roman" w:cs="Times New Roman"/>
          <w:sz w:val="24"/>
          <w:szCs w:val="24"/>
        </w:rPr>
        <w:t>1)</w:t>
      </w:r>
      <w:r w:rsidRPr="00E1200B">
        <w:rPr>
          <w:rFonts w:ascii="Times New Roman" w:hAnsi="Times New Roman" w:cs="Times New Roman"/>
          <w:sz w:val="24"/>
          <w:szCs w:val="24"/>
        </w:rPr>
        <w:t xml:space="preserve">.Cette concentration de cas parmi les jeunes adultes peut être liée à </w:t>
      </w:r>
      <w:r w:rsidR="00FD5C99">
        <w:rPr>
          <w:rFonts w:ascii="Times New Roman" w:hAnsi="Times New Roman" w:cs="Times New Roman"/>
          <w:sz w:val="24"/>
          <w:szCs w:val="24"/>
        </w:rPr>
        <w:t>leur</w:t>
      </w:r>
      <w:r w:rsidRPr="00E1200B">
        <w:rPr>
          <w:rFonts w:ascii="Times New Roman" w:hAnsi="Times New Roman" w:cs="Times New Roman"/>
          <w:sz w:val="24"/>
          <w:szCs w:val="24"/>
        </w:rPr>
        <w:t xml:space="preserve"> implication dans des activités sociales à risque, ainsi qu'à des conflits interpersonnels</w:t>
      </w:r>
      <w:r>
        <w:rPr>
          <w:rFonts w:ascii="Times New Roman" w:hAnsi="Times New Roman" w:cs="Times New Roman"/>
          <w:sz w:val="24"/>
          <w:szCs w:val="24"/>
        </w:rPr>
        <w:t xml:space="preserve"> et des comportements violents, raison pour laquelle le genre masculin est plus concerné.</w:t>
      </w:r>
    </w:p>
    <w:p w14:paraId="33071098" w14:textId="77777777" w:rsidR="0058190D" w:rsidRDefault="0058190D" w:rsidP="00BA1192">
      <w:pPr>
        <w:pStyle w:val="Paragraphedeliste"/>
        <w:numPr>
          <w:ilvl w:val="1"/>
          <w:numId w:val="3"/>
        </w:numPr>
        <w:jc w:val="both"/>
        <w:rPr>
          <w:b/>
        </w:rPr>
      </w:pPr>
      <w:r w:rsidRPr="0058190D">
        <w:rPr>
          <w:b/>
        </w:rPr>
        <w:t>Heure et lieu de l’agression</w:t>
      </w:r>
    </w:p>
    <w:p w14:paraId="31145D94" w14:textId="77777777" w:rsidR="00FD5C99" w:rsidRPr="0058190D" w:rsidRDefault="00FD5C99" w:rsidP="00BA1192">
      <w:pPr>
        <w:pStyle w:val="Paragraphedeliste"/>
        <w:jc w:val="both"/>
        <w:rPr>
          <w:b/>
        </w:rPr>
      </w:pPr>
    </w:p>
    <w:p w14:paraId="7556BFBE" w14:textId="77777777" w:rsidR="0058190D" w:rsidRDefault="00A85DF4" w:rsidP="00BA1192">
      <w:pPr>
        <w:spacing w:line="240" w:lineRule="auto"/>
        <w:ind w:firstLine="360"/>
        <w:jc w:val="both"/>
        <w:rPr>
          <w:rFonts w:ascii="Times New Roman" w:hAnsi="Times New Roman" w:cs="Times New Roman"/>
          <w:sz w:val="24"/>
          <w:szCs w:val="24"/>
        </w:rPr>
      </w:pPr>
      <w:r w:rsidRPr="00A85DF4">
        <w:rPr>
          <w:rFonts w:ascii="Times New Roman" w:hAnsi="Times New Roman" w:cs="Times New Roman"/>
          <w:sz w:val="24"/>
          <w:szCs w:val="24"/>
        </w:rPr>
        <w:t>Notre résultat est semblable à celui d’une autre étude portant sur les TCE par agression menée en Afrique du Sud qui a rapporté une augmentation des cas entre minuit et 02h00, rep</w:t>
      </w:r>
      <w:r w:rsidR="0010479C">
        <w:rPr>
          <w:rFonts w:ascii="Times New Roman" w:hAnsi="Times New Roman" w:cs="Times New Roman"/>
          <w:sz w:val="24"/>
          <w:szCs w:val="24"/>
        </w:rPr>
        <w:t>résentant 20 % des admissions (</w:t>
      </w:r>
      <w:r w:rsidR="00FD5C99">
        <w:rPr>
          <w:rFonts w:ascii="Times New Roman" w:hAnsi="Times New Roman" w:cs="Times New Roman"/>
          <w:sz w:val="24"/>
          <w:szCs w:val="24"/>
        </w:rPr>
        <w:t>1</w:t>
      </w:r>
      <w:r w:rsidR="0010479C">
        <w:rPr>
          <w:rFonts w:ascii="Times New Roman" w:hAnsi="Times New Roman" w:cs="Times New Roman"/>
          <w:sz w:val="24"/>
          <w:szCs w:val="24"/>
        </w:rPr>
        <w:t>2)</w:t>
      </w:r>
      <w:r w:rsidRPr="00A85DF4">
        <w:rPr>
          <w:rFonts w:ascii="Times New Roman" w:hAnsi="Times New Roman" w:cs="Times New Roman"/>
          <w:sz w:val="24"/>
          <w:szCs w:val="24"/>
        </w:rPr>
        <w:t>. Une étude menée au Nigeria a rap</w:t>
      </w:r>
      <w:r w:rsidR="00FD5C99">
        <w:rPr>
          <w:rFonts w:ascii="Times New Roman" w:hAnsi="Times New Roman" w:cs="Times New Roman"/>
          <w:sz w:val="24"/>
          <w:szCs w:val="24"/>
        </w:rPr>
        <w:t xml:space="preserve">porté que les TCE par </w:t>
      </w:r>
      <w:r w:rsidR="00FD5C99">
        <w:rPr>
          <w:rFonts w:ascii="Times New Roman" w:hAnsi="Times New Roman" w:cs="Times New Roman"/>
          <w:sz w:val="24"/>
          <w:szCs w:val="24"/>
        </w:rPr>
        <w:lastRenderedPageBreak/>
        <w:t>agression</w:t>
      </w:r>
      <w:r w:rsidRPr="00A85DF4">
        <w:rPr>
          <w:rFonts w:ascii="Times New Roman" w:hAnsi="Times New Roman" w:cs="Times New Roman"/>
          <w:sz w:val="24"/>
          <w:szCs w:val="24"/>
        </w:rPr>
        <w:t xml:space="preserve"> étaient les plus fréquentes </w:t>
      </w:r>
      <w:r w:rsidR="00FD5C99">
        <w:rPr>
          <w:rFonts w:ascii="Times New Roman" w:hAnsi="Times New Roman" w:cs="Times New Roman"/>
          <w:sz w:val="24"/>
          <w:szCs w:val="24"/>
        </w:rPr>
        <w:t xml:space="preserve">entre 22h00 et 02h00 du matin </w:t>
      </w:r>
      <w:r w:rsidR="0010479C">
        <w:rPr>
          <w:rFonts w:ascii="Times New Roman" w:hAnsi="Times New Roman" w:cs="Times New Roman"/>
          <w:sz w:val="24"/>
          <w:szCs w:val="24"/>
        </w:rPr>
        <w:t>(</w:t>
      </w:r>
      <w:r w:rsidR="00FD5C99">
        <w:rPr>
          <w:rFonts w:ascii="Times New Roman" w:hAnsi="Times New Roman" w:cs="Times New Roman"/>
          <w:sz w:val="24"/>
          <w:szCs w:val="24"/>
        </w:rPr>
        <w:t>1</w:t>
      </w:r>
      <w:r w:rsidR="0010479C">
        <w:rPr>
          <w:rFonts w:ascii="Times New Roman" w:hAnsi="Times New Roman" w:cs="Times New Roman"/>
          <w:sz w:val="24"/>
          <w:szCs w:val="24"/>
        </w:rPr>
        <w:t>3)</w:t>
      </w:r>
      <w:r w:rsidRPr="00A85DF4">
        <w:rPr>
          <w:rFonts w:ascii="Times New Roman" w:hAnsi="Times New Roman" w:cs="Times New Roman"/>
          <w:sz w:val="24"/>
          <w:szCs w:val="24"/>
        </w:rPr>
        <w:t>. D</w:t>
      </w:r>
      <w:r w:rsidR="001E569B">
        <w:rPr>
          <w:rFonts w:ascii="Times New Roman" w:hAnsi="Times New Roman" w:cs="Times New Roman"/>
          <w:sz w:val="24"/>
          <w:szCs w:val="24"/>
        </w:rPr>
        <w:t xml:space="preserve">es résultats similaires </w:t>
      </w:r>
      <w:r w:rsidRPr="00A85DF4">
        <w:rPr>
          <w:rFonts w:ascii="Times New Roman" w:hAnsi="Times New Roman" w:cs="Times New Roman"/>
          <w:sz w:val="24"/>
          <w:szCs w:val="24"/>
        </w:rPr>
        <w:t>rapportés dans d'autres pays, comme le Brésil</w:t>
      </w:r>
      <w:r w:rsidR="0058190D">
        <w:rPr>
          <w:rFonts w:ascii="Times New Roman" w:hAnsi="Times New Roman" w:cs="Times New Roman"/>
          <w:sz w:val="24"/>
          <w:szCs w:val="24"/>
        </w:rPr>
        <w:t>,</w:t>
      </w:r>
      <w:r w:rsidRPr="00A85DF4">
        <w:rPr>
          <w:rFonts w:ascii="Times New Roman" w:hAnsi="Times New Roman" w:cs="Times New Roman"/>
          <w:sz w:val="24"/>
          <w:szCs w:val="24"/>
        </w:rPr>
        <w:t xml:space="preserve"> survenaient principalement entre 01h00 et 03h00 du matin, représentant </w:t>
      </w:r>
      <w:r w:rsidR="0010479C">
        <w:rPr>
          <w:rFonts w:ascii="Times New Roman" w:hAnsi="Times New Roman" w:cs="Times New Roman"/>
          <w:sz w:val="24"/>
          <w:szCs w:val="24"/>
        </w:rPr>
        <w:t>environ 25 % des cas de TCE (</w:t>
      </w:r>
      <w:r w:rsidR="001E569B">
        <w:rPr>
          <w:rFonts w:ascii="Times New Roman" w:hAnsi="Times New Roman" w:cs="Times New Roman"/>
          <w:sz w:val="24"/>
          <w:szCs w:val="24"/>
        </w:rPr>
        <w:t>14</w:t>
      </w:r>
      <w:r w:rsidR="0010479C">
        <w:rPr>
          <w:rFonts w:ascii="Times New Roman" w:hAnsi="Times New Roman" w:cs="Times New Roman"/>
          <w:sz w:val="24"/>
          <w:szCs w:val="24"/>
        </w:rPr>
        <w:t>)</w:t>
      </w:r>
      <w:r w:rsidRPr="00A85DF4">
        <w:rPr>
          <w:rFonts w:ascii="Times New Roman" w:hAnsi="Times New Roman" w:cs="Times New Roman"/>
          <w:sz w:val="24"/>
          <w:szCs w:val="24"/>
        </w:rPr>
        <w:t xml:space="preserve"> et en Espagne où les agressions atteignaient leur maximum entre 22h00 et 03h00, avec une</w:t>
      </w:r>
      <w:r w:rsidR="0010479C">
        <w:rPr>
          <w:rFonts w:ascii="Times New Roman" w:hAnsi="Times New Roman" w:cs="Times New Roman"/>
          <w:sz w:val="24"/>
          <w:szCs w:val="24"/>
        </w:rPr>
        <w:t xml:space="preserve"> proportion de 35 % des cas (</w:t>
      </w:r>
      <w:r w:rsidR="001E569B">
        <w:rPr>
          <w:rFonts w:ascii="Times New Roman" w:hAnsi="Times New Roman" w:cs="Times New Roman"/>
          <w:sz w:val="24"/>
          <w:szCs w:val="24"/>
        </w:rPr>
        <w:t>15</w:t>
      </w:r>
      <w:r w:rsidR="0010479C">
        <w:rPr>
          <w:rFonts w:ascii="Times New Roman" w:hAnsi="Times New Roman" w:cs="Times New Roman"/>
          <w:sz w:val="24"/>
          <w:szCs w:val="24"/>
        </w:rPr>
        <w:t>)</w:t>
      </w:r>
      <w:r w:rsidR="000411F4">
        <w:rPr>
          <w:rFonts w:ascii="Times New Roman" w:hAnsi="Times New Roman" w:cs="Times New Roman"/>
          <w:sz w:val="24"/>
          <w:szCs w:val="24"/>
        </w:rPr>
        <w:t xml:space="preserve">. </w:t>
      </w:r>
      <w:r w:rsidRPr="00A85DF4">
        <w:rPr>
          <w:rFonts w:ascii="Times New Roman" w:hAnsi="Times New Roman" w:cs="Times New Roman"/>
          <w:sz w:val="24"/>
          <w:szCs w:val="24"/>
        </w:rPr>
        <w:t>Cette tendance est attribuée à des comportements de sortie nocturne, notamment après la fermeture des bars et des clubs, où les conflits interpersonnels et les agressions sont plus fréquents en raison de la consommation excessive d'alcool et de substances psychoactives.</w:t>
      </w:r>
    </w:p>
    <w:p w14:paraId="1C06D915" w14:textId="77777777" w:rsidR="0058190D" w:rsidRDefault="0058190D" w:rsidP="00BA1192">
      <w:pPr>
        <w:pStyle w:val="Paragraphedeliste"/>
        <w:numPr>
          <w:ilvl w:val="1"/>
          <w:numId w:val="3"/>
        </w:numPr>
        <w:jc w:val="both"/>
        <w:rPr>
          <w:b/>
        </w:rPr>
      </w:pPr>
      <w:r w:rsidRPr="0058190D">
        <w:rPr>
          <w:b/>
        </w:rPr>
        <w:t>Circonstance de l’agression</w:t>
      </w:r>
      <w:r w:rsidR="007E1BA6">
        <w:rPr>
          <w:b/>
        </w:rPr>
        <w:t xml:space="preserve"> et l’agent vulnérant</w:t>
      </w:r>
    </w:p>
    <w:p w14:paraId="4DC2B440" w14:textId="77777777" w:rsidR="001E6A3C" w:rsidRPr="0058190D" w:rsidRDefault="001E6A3C" w:rsidP="00BA1192">
      <w:pPr>
        <w:pStyle w:val="Paragraphedeliste"/>
        <w:jc w:val="both"/>
        <w:rPr>
          <w:b/>
        </w:rPr>
      </w:pPr>
    </w:p>
    <w:p w14:paraId="4189C8E0" w14:textId="77777777" w:rsidR="0058190D" w:rsidRDefault="0058190D" w:rsidP="00BA1192">
      <w:pPr>
        <w:spacing w:line="240" w:lineRule="auto"/>
        <w:ind w:firstLine="360"/>
        <w:jc w:val="both"/>
        <w:rPr>
          <w:rFonts w:ascii="Times New Roman" w:hAnsi="Times New Roman" w:cs="Times New Roman"/>
          <w:sz w:val="24"/>
          <w:szCs w:val="24"/>
        </w:rPr>
      </w:pPr>
      <w:r w:rsidRPr="0058190D">
        <w:rPr>
          <w:rFonts w:ascii="Times New Roman" w:hAnsi="Times New Roman" w:cs="Times New Roman"/>
          <w:sz w:val="24"/>
          <w:szCs w:val="24"/>
        </w:rPr>
        <w:t xml:space="preserve">L’étude Sud-africaine de </w:t>
      </w:r>
      <w:proofErr w:type="spellStart"/>
      <w:r w:rsidRPr="0058190D">
        <w:rPr>
          <w:rFonts w:ascii="Times New Roman" w:hAnsi="Times New Roman" w:cs="Times New Roman"/>
          <w:sz w:val="24"/>
          <w:szCs w:val="24"/>
        </w:rPr>
        <w:t>Naidoo</w:t>
      </w:r>
      <w:proofErr w:type="spellEnd"/>
      <w:r w:rsidRPr="0058190D">
        <w:rPr>
          <w:rFonts w:ascii="Times New Roman" w:hAnsi="Times New Roman" w:cs="Times New Roman"/>
          <w:sz w:val="24"/>
          <w:szCs w:val="24"/>
        </w:rPr>
        <w:t xml:space="preserve">, et al. </w:t>
      </w:r>
      <w:proofErr w:type="gramStart"/>
      <w:r w:rsidRPr="0058190D">
        <w:rPr>
          <w:rFonts w:ascii="Times New Roman" w:hAnsi="Times New Roman" w:cs="Times New Roman"/>
          <w:sz w:val="24"/>
          <w:szCs w:val="24"/>
        </w:rPr>
        <w:t>a</w:t>
      </w:r>
      <w:proofErr w:type="gramEnd"/>
      <w:r w:rsidRPr="0058190D">
        <w:rPr>
          <w:rFonts w:ascii="Times New Roman" w:hAnsi="Times New Roman" w:cs="Times New Roman"/>
          <w:sz w:val="24"/>
          <w:szCs w:val="24"/>
        </w:rPr>
        <w:t xml:space="preserve"> trouvé des résultats similaires</w:t>
      </w:r>
      <w:r w:rsidR="001E6A3C">
        <w:rPr>
          <w:rFonts w:ascii="Times New Roman" w:hAnsi="Times New Roman" w:cs="Times New Roman"/>
          <w:sz w:val="24"/>
          <w:szCs w:val="24"/>
        </w:rPr>
        <w:t xml:space="preserve"> aux nôtres (52%)</w:t>
      </w:r>
      <w:r w:rsidRPr="0058190D">
        <w:rPr>
          <w:rFonts w:ascii="Times New Roman" w:hAnsi="Times New Roman" w:cs="Times New Roman"/>
          <w:sz w:val="24"/>
          <w:szCs w:val="24"/>
        </w:rPr>
        <w:t>, où les bagarres représentaient environ 55 %</w:t>
      </w:r>
      <w:r w:rsidR="0010479C">
        <w:rPr>
          <w:rFonts w:ascii="Times New Roman" w:hAnsi="Times New Roman" w:cs="Times New Roman"/>
          <w:sz w:val="24"/>
          <w:szCs w:val="24"/>
        </w:rPr>
        <w:t xml:space="preserve"> des cas de TCE par agression (</w:t>
      </w:r>
      <w:r w:rsidR="001E6A3C">
        <w:rPr>
          <w:rFonts w:ascii="Times New Roman" w:hAnsi="Times New Roman" w:cs="Times New Roman"/>
          <w:sz w:val="24"/>
          <w:szCs w:val="24"/>
        </w:rPr>
        <w:t>1</w:t>
      </w:r>
      <w:r w:rsidR="0010479C">
        <w:rPr>
          <w:rFonts w:ascii="Times New Roman" w:hAnsi="Times New Roman" w:cs="Times New Roman"/>
          <w:sz w:val="24"/>
          <w:szCs w:val="24"/>
        </w:rPr>
        <w:t>2)</w:t>
      </w:r>
      <w:r w:rsidRPr="0058190D">
        <w:rPr>
          <w:rFonts w:ascii="Times New Roman" w:hAnsi="Times New Roman" w:cs="Times New Roman"/>
          <w:sz w:val="24"/>
          <w:szCs w:val="24"/>
        </w:rPr>
        <w:t xml:space="preserve">. De même, Silva, et al au Brésil révélaient que les bagarres étaient responsables de 48 % des cas de TCE par agression, surtout dans les zones </w:t>
      </w:r>
      <w:r w:rsidR="0010479C">
        <w:rPr>
          <w:rFonts w:ascii="Times New Roman" w:hAnsi="Times New Roman" w:cs="Times New Roman"/>
          <w:sz w:val="24"/>
          <w:szCs w:val="24"/>
        </w:rPr>
        <w:t>urbaines densément peuplées (</w:t>
      </w:r>
      <w:r w:rsidR="001E6A3C">
        <w:rPr>
          <w:rFonts w:ascii="Times New Roman" w:hAnsi="Times New Roman" w:cs="Times New Roman"/>
          <w:sz w:val="24"/>
          <w:szCs w:val="24"/>
        </w:rPr>
        <w:t>14</w:t>
      </w:r>
      <w:proofErr w:type="gramStart"/>
      <w:r w:rsidR="0010479C">
        <w:rPr>
          <w:rFonts w:ascii="Times New Roman" w:hAnsi="Times New Roman" w:cs="Times New Roman"/>
          <w:sz w:val="24"/>
          <w:szCs w:val="24"/>
        </w:rPr>
        <w:t>)</w:t>
      </w:r>
      <w:r w:rsidRPr="0058190D">
        <w:rPr>
          <w:rFonts w:ascii="Times New Roman" w:hAnsi="Times New Roman" w:cs="Times New Roman"/>
          <w:sz w:val="24"/>
          <w:szCs w:val="24"/>
        </w:rPr>
        <w:t>.Ces</w:t>
      </w:r>
      <w:proofErr w:type="gramEnd"/>
      <w:r w:rsidRPr="0058190D">
        <w:rPr>
          <w:rFonts w:ascii="Times New Roman" w:hAnsi="Times New Roman" w:cs="Times New Roman"/>
          <w:sz w:val="24"/>
          <w:szCs w:val="24"/>
        </w:rPr>
        <w:t xml:space="preserve"> cas de violence interpersonnelle sont souvent associés à des conflits communautaires, à la consommation d'alcool et à d'autres substances psychoactives, qui sont des facteurs communs à la fois à Antsiranana et aux régions étudiées en Afrique du Sud.</w:t>
      </w:r>
    </w:p>
    <w:p w14:paraId="5DEC1A1B" w14:textId="77777777" w:rsidR="007E1BA6" w:rsidRPr="007E1BA6" w:rsidRDefault="007E1BA6" w:rsidP="00BA1192">
      <w:pPr>
        <w:spacing w:line="240" w:lineRule="auto"/>
        <w:ind w:firstLine="360"/>
        <w:jc w:val="both"/>
        <w:rPr>
          <w:rFonts w:ascii="Times New Roman" w:hAnsi="Times New Roman" w:cs="Times New Roman"/>
          <w:sz w:val="24"/>
          <w:szCs w:val="24"/>
        </w:rPr>
      </w:pPr>
      <w:r w:rsidRPr="007E1BA6">
        <w:rPr>
          <w:rFonts w:ascii="Times New Roman" w:hAnsi="Times New Roman" w:cs="Times New Roman"/>
          <w:sz w:val="24"/>
          <w:szCs w:val="24"/>
        </w:rPr>
        <w:t>Le cambriolage était la deuxième circonstance la plus fréquente des TCE par agression, représentant 28,57 % des cas, ce qui rejoint le résultat de Kamissoko qui rapportait dans sa thèse que 30,12% des agressions étaient liés</w:t>
      </w:r>
      <w:r w:rsidR="0010479C">
        <w:rPr>
          <w:rFonts w:ascii="Times New Roman" w:hAnsi="Times New Roman" w:cs="Times New Roman"/>
          <w:sz w:val="24"/>
          <w:szCs w:val="24"/>
        </w:rPr>
        <w:t xml:space="preserve"> à des cambriolages (</w:t>
      </w:r>
      <w:r w:rsidR="007163EC">
        <w:rPr>
          <w:rFonts w:ascii="Times New Roman" w:hAnsi="Times New Roman" w:cs="Times New Roman"/>
          <w:sz w:val="24"/>
          <w:szCs w:val="24"/>
        </w:rPr>
        <w:t>10</w:t>
      </w:r>
      <w:r w:rsidR="0010479C">
        <w:rPr>
          <w:rFonts w:ascii="Times New Roman" w:hAnsi="Times New Roman" w:cs="Times New Roman"/>
          <w:sz w:val="24"/>
          <w:szCs w:val="24"/>
        </w:rPr>
        <w:t>)</w:t>
      </w:r>
      <w:r w:rsidRPr="007E1BA6">
        <w:rPr>
          <w:rFonts w:ascii="Times New Roman" w:hAnsi="Times New Roman" w:cs="Times New Roman"/>
          <w:sz w:val="24"/>
          <w:szCs w:val="24"/>
        </w:rPr>
        <w:t>. Mais une étude menée en Inde a révélé que les cambriolages représentaient seulemen</w:t>
      </w:r>
      <w:r w:rsidR="0010479C">
        <w:rPr>
          <w:rFonts w:ascii="Times New Roman" w:hAnsi="Times New Roman" w:cs="Times New Roman"/>
          <w:sz w:val="24"/>
          <w:szCs w:val="24"/>
        </w:rPr>
        <w:t>t 20 % des TCE par agression (</w:t>
      </w:r>
      <w:r w:rsidR="007163EC">
        <w:rPr>
          <w:rFonts w:ascii="Times New Roman" w:hAnsi="Times New Roman" w:cs="Times New Roman"/>
          <w:sz w:val="24"/>
          <w:szCs w:val="24"/>
        </w:rPr>
        <w:t>8</w:t>
      </w:r>
      <w:r w:rsidR="0010479C">
        <w:rPr>
          <w:rFonts w:ascii="Times New Roman" w:hAnsi="Times New Roman" w:cs="Times New Roman"/>
          <w:sz w:val="24"/>
          <w:szCs w:val="24"/>
        </w:rPr>
        <w:t>)</w:t>
      </w:r>
      <w:r w:rsidR="00FD0EB4">
        <w:rPr>
          <w:rFonts w:ascii="Times New Roman" w:hAnsi="Times New Roman" w:cs="Times New Roman"/>
          <w:sz w:val="24"/>
          <w:szCs w:val="24"/>
        </w:rPr>
        <w:t>. De même, au Canada, seuls</w:t>
      </w:r>
      <w:r w:rsidRPr="007E1BA6">
        <w:rPr>
          <w:rFonts w:ascii="Times New Roman" w:hAnsi="Times New Roman" w:cs="Times New Roman"/>
          <w:sz w:val="24"/>
          <w:szCs w:val="24"/>
        </w:rPr>
        <w:t xml:space="preserve"> 10 % des cas des TCE</w:t>
      </w:r>
      <w:r w:rsidR="0010479C">
        <w:rPr>
          <w:rFonts w:ascii="Times New Roman" w:hAnsi="Times New Roman" w:cs="Times New Roman"/>
          <w:sz w:val="24"/>
          <w:szCs w:val="24"/>
        </w:rPr>
        <w:t xml:space="preserve"> étaient liés au cambriolage (</w:t>
      </w:r>
      <w:r w:rsidR="007163EC">
        <w:rPr>
          <w:rFonts w:ascii="Times New Roman" w:hAnsi="Times New Roman" w:cs="Times New Roman"/>
          <w:sz w:val="24"/>
          <w:szCs w:val="24"/>
        </w:rPr>
        <w:t>16</w:t>
      </w:r>
      <w:proofErr w:type="gramStart"/>
      <w:r w:rsidR="0010479C">
        <w:rPr>
          <w:rFonts w:ascii="Times New Roman" w:hAnsi="Times New Roman" w:cs="Times New Roman"/>
          <w:sz w:val="24"/>
          <w:szCs w:val="24"/>
        </w:rPr>
        <w:t>)</w:t>
      </w:r>
      <w:r w:rsidRPr="007E1BA6">
        <w:rPr>
          <w:rFonts w:ascii="Times New Roman" w:hAnsi="Times New Roman" w:cs="Times New Roman"/>
          <w:sz w:val="24"/>
          <w:szCs w:val="24"/>
        </w:rPr>
        <w:t>.Cette</w:t>
      </w:r>
      <w:proofErr w:type="gramEnd"/>
      <w:r w:rsidRPr="007E1BA6">
        <w:rPr>
          <w:rFonts w:ascii="Times New Roman" w:hAnsi="Times New Roman" w:cs="Times New Roman"/>
          <w:sz w:val="24"/>
          <w:szCs w:val="24"/>
        </w:rPr>
        <w:t xml:space="preserve"> faible proportion des cambriolages dans les pays nantis peut être attribuée à des systèmes de sécurité plus </w:t>
      </w:r>
      <w:r w:rsidRPr="007E1BA6">
        <w:rPr>
          <w:rFonts w:ascii="Times New Roman" w:hAnsi="Times New Roman" w:cs="Times New Roman"/>
          <w:sz w:val="24"/>
          <w:szCs w:val="24"/>
        </w:rPr>
        <w:lastRenderedPageBreak/>
        <w:t>robustes, à une application stricte des lois, et à des niveaux de pauvreté généralement moins élevés par rapport aux pays en développement.</w:t>
      </w:r>
    </w:p>
    <w:p w14:paraId="45B26AC1" w14:textId="77777777" w:rsidR="007E1BA6" w:rsidRDefault="007E1BA6" w:rsidP="00BA1192">
      <w:pPr>
        <w:spacing w:line="240" w:lineRule="auto"/>
        <w:ind w:firstLine="360"/>
        <w:jc w:val="both"/>
        <w:rPr>
          <w:rFonts w:ascii="Times New Roman" w:hAnsi="Times New Roman" w:cs="Times New Roman"/>
          <w:sz w:val="24"/>
          <w:szCs w:val="24"/>
        </w:rPr>
      </w:pPr>
      <w:r w:rsidRPr="007E1BA6">
        <w:rPr>
          <w:rFonts w:ascii="Times New Roman" w:hAnsi="Times New Roman" w:cs="Times New Roman"/>
          <w:sz w:val="24"/>
          <w:szCs w:val="24"/>
        </w:rPr>
        <w:t xml:space="preserve">Nous avons noté une proportion de 7,50 % des TCE liées à des violences conjugales. Ce qui est relativement bas par rapport aux </w:t>
      </w:r>
      <w:r w:rsidR="0010479C">
        <w:rPr>
          <w:rFonts w:ascii="Times New Roman" w:hAnsi="Times New Roman" w:cs="Times New Roman"/>
          <w:sz w:val="24"/>
          <w:szCs w:val="24"/>
        </w:rPr>
        <w:t>études américaines de Wright (</w:t>
      </w:r>
      <w:r w:rsidR="005B6D13">
        <w:rPr>
          <w:rFonts w:ascii="Times New Roman" w:hAnsi="Times New Roman" w:cs="Times New Roman"/>
          <w:sz w:val="24"/>
          <w:szCs w:val="24"/>
        </w:rPr>
        <w:t>17</w:t>
      </w:r>
      <w:r w:rsidR="0010479C">
        <w:rPr>
          <w:rFonts w:ascii="Times New Roman" w:hAnsi="Times New Roman" w:cs="Times New Roman"/>
          <w:sz w:val="24"/>
          <w:szCs w:val="24"/>
        </w:rPr>
        <w:t>)</w:t>
      </w:r>
      <w:r w:rsidR="00C97E1F">
        <w:rPr>
          <w:rFonts w:ascii="Times New Roman" w:hAnsi="Times New Roman" w:cs="Times New Roman"/>
          <w:sz w:val="24"/>
          <w:szCs w:val="24"/>
        </w:rPr>
        <w:t xml:space="preserve"> </w:t>
      </w:r>
      <w:r w:rsidR="0010479C">
        <w:rPr>
          <w:rFonts w:ascii="Times New Roman" w:hAnsi="Times New Roman" w:cs="Times New Roman"/>
          <w:sz w:val="24"/>
          <w:szCs w:val="24"/>
        </w:rPr>
        <w:t>et française de Lescot et al (</w:t>
      </w:r>
      <w:r w:rsidR="00726628">
        <w:rPr>
          <w:rFonts w:ascii="Times New Roman" w:hAnsi="Times New Roman" w:cs="Times New Roman"/>
          <w:sz w:val="24"/>
          <w:szCs w:val="24"/>
        </w:rPr>
        <w:t>18</w:t>
      </w:r>
      <w:r w:rsidR="0010479C">
        <w:rPr>
          <w:rFonts w:ascii="Times New Roman" w:hAnsi="Times New Roman" w:cs="Times New Roman"/>
          <w:sz w:val="24"/>
          <w:szCs w:val="24"/>
        </w:rPr>
        <w:t>)</w:t>
      </w:r>
      <w:r w:rsidRPr="007E1BA6">
        <w:rPr>
          <w:rFonts w:ascii="Times New Roman" w:hAnsi="Times New Roman" w:cs="Times New Roman"/>
          <w:sz w:val="24"/>
          <w:szCs w:val="24"/>
        </w:rPr>
        <w:t xml:space="preserve"> où les violences conjugales représentaient 15 % et 12 % des cas respectivement. Notons qu’au Mali, Kamissoko rapportait un taux de 16,73% de cas TCE liés à de</w:t>
      </w:r>
      <w:r w:rsidR="00726628">
        <w:rPr>
          <w:rFonts w:ascii="Times New Roman" w:hAnsi="Times New Roman" w:cs="Times New Roman"/>
          <w:sz w:val="24"/>
          <w:szCs w:val="24"/>
        </w:rPr>
        <w:t>s violences co</w:t>
      </w:r>
      <w:r w:rsidR="0010479C">
        <w:rPr>
          <w:rFonts w:ascii="Times New Roman" w:hAnsi="Times New Roman" w:cs="Times New Roman"/>
          <w:sz w:val="24"/>
          <w:szCs w:val="24"/>
        </w:rPr>
        <w:t>njugales (</w:t>
      </w:r>
      <w:r w:rsidR="00726628">
        <w:rPr>
          <w:rFonts w:ascii="Times New Roman" w:hAnsi="Times New Roman" w:cs="Times New Roman"/>
          <w:sz w:val="24"/>
          <w:szCs w:val="24"/>
        </w:rPr>
        <w:t>10</w:t>
      </w:r>
      <w:r w:rsidR="0010479C">
        <w:rPr>
          <w:rFonts w:ascii="Times New Roman" w:hAnsi="Times New Roman" w:cs="Times New Roman"/>
          <w:sz w:val="24"/>
          <w:szCs w:val="24"/>
        </w:rPr>
        <w:t>)</w:t>
      </w:r>
      <w:r w:rsidRPr="007E1BA6">
        <w:rPr>
          <w:rFonts w:ascii="Times New Roman" w:hAnsi="Times New Roman" w:cs="Times New Roman"/>
          <w:sz w:val="24"/>
          <w:szCs w:val="24"/>
        </w:rPr>
        <w:t>. Ce qui pourrait refléter la réalité dans notre contexte où les femmes ont peur de signaler des violences liées au genre, contrairement aux pays occidentaux et certains pays africains où il existe un meilleur signalement des vio</w:t>
      </w:r>
      <w:r w:rsidR="00726628">
        <w:rPr>
          <w:rFonts w:ascii="Times New Roman" w:hAnsi="Times New Roman" w:cs="Times New Roman"/>
          <w:sz w:val="24"/>
          <w:szCs w:val="24"/>
        </w:rPr>
        <w:t>lences conjugales.</w:t>
      </w:r>
    </w:p>
    <w:p w14:paraId="68B64BFF" w14:textId="77777777" w:rsidR="007E1BA6" w:rsidRDefault="007E1BA6" w:rsidP="00BA1192">
      <w:pPr>
        <w:spacing w:line="240" w:lineRule="auto"/>
        <w:ind w:firstLine="360"/>
        <w:jc w:val="both"/>
        <w:rPr>
          <w:rFonts w:ascii="Times New Roman" w:hAnsi="Times New Roman" w:cs="Times New Roman"/>
          <w:sz w:val="24"/>
          <w:szCs w:val="24"/>
        </w:rPr>
      </w:pPr>
      <w:r w:rsidRPr="007E1BA6">
        <w:rPr>
          <w:rFonts w:ascii="Times New Roman" w:hAnsi="Times New Roman" w:cs="Times New Roman"/>
          <w:sz w:val="24"/>
          <w:szCs w:val="24"/>
        </w:rPr>
        <w:t xml:space="preserve">Une étude réalisée en Afrique du Sud a rapporté que les bâtons ou objets contondants similaires </w:t>
      </w:r>
      <w:r w:rsidR="00726628">
        <w:rPr>
          <w:rFonts w:ascii="Times New Roman" w:hAnsi="Times New Roman" w:cs="Times New Roman"/>
          <w:sz w:val="24"/>
          <w:szCs w:val="24"/>
        </w:rPr>
        <w:t xml:space="preserve">aux nôtres </w:t>
      </w:r>
      <w:r w:rsidRPr="007E1BA6">
        <w:rPr>
          <w:rFonts w:ascii="Times New Roman" w:hAnsi="Times New Roman" w:cs="Times New Roman"/>
          <w:sz w:val="24"/>
          <w:szCs w:val="24"/>
        </w:rPr>
        <w:t>étaient impliqués dans 35 %</w:t>
      </w:r>
      <w:r w:rsidR="0010479C">
        <w:rPr>
          <w:rFonts w:ascii="Times New Roman" w:hAnsi="Times New Roman" w:cs="Times New Roman"/>
          <w:sz w:val="24"/>
          <w:szCs w:val="24"/>
        </w:rPr>
        <w:t xml:space="preserve"> des cas de TCE par agression (</w:t>
      </w:r>
      <w:r w:rsidR="00726628">
        <w:rPr>
          <w:rFonts w:ascii="Times New Roman" w:hAnsi="Times New Roman" w:cs="Times New Roman"/>
          <w:sz w:val="24"/>
          <w:szCs w:val="24"/>
        </w:rPr>
        <w:t>1</w:t>
      </w:r>
      <w:r w:rsidR="0010479C">
        <w:rPr>
          <w:rFonts w:ascii="Times New Roman" w:hAnsi="Times New Roman" w:cs="Times New Roman"/>
          <w:sz w:val="24"/>
          <w:szCs w:val="24"/>
        </w:rPr>
        <w:t>2)</w:t>
      </w:r>
      <w:r w:rsidRPr="007E1BA6">
        <w:rPr>
          <w:rFonts w:ascii="Times New Roman" w:hAnsi="Times New Roman" w:cs="Times New Roman"/>
          <w:sz w:val="24"/>
          <w:szCs w:val="24"/>
        </w:rPr>
        <w:t>. Kamissoko retrouvait une même tendance mais avec un t</w:t>
      </w:r>
      <w:r w:rsidR="0010479C">
        <w:rPr>
          <w:rFonts w:ascii="Times New Roman" w:hAnsi="Times New Roman" w:cs="Times New Roman"/>
          <w:sz w:val="24"/>
          <w:szCs w:val="24"/>
        </w:rPr>
        <w:t>aux plus bas soit 27,00% (</w:t>
      </w:r>
      <w:r w:rsidR="00726628">
        <w:rPr>
          <w:rFonts w:ascii="Times New Roman" w:hAnsi="Times New Roman" w:cs="Times New Roman"/>
          <w:sz w:val="24"/>
          <w:szCs w:val="24"/>
        </w:rPr>
        <w:t>10</w:t>
      </w:r>
      <w:r w:rsidR="0010479C">
        <w:rPr>
          <w:rFonts w:ascii="Times New Roman" w:hAnsi="Times New Roman" w:cs="Times New Roman"/>
          <w:sz w:val="24"/>
          <w:szCs w:val="24"/>
        </w:rPr>
        <w:t>)</w:t>
      </w:r>
      <w:r w:rsidR="00726628">
        <w:rPr>
          <w:rFonts w:ascii="Times New Roman" w:hAnsi="Times New Roman" w:cs="Times New Roman"/>
          <w:sz w:val="24"/>
          <w:szCs w:val="24"/>
        </w:rPr>
        <w:t>. D</w:t>
      </w:r>
      <w:r w:rsidRPr="007E1BA6">
        <w:rPr>
          <w:rFonts w:ascii="Times New Roman" w:hAnsi="Times New Roman" w:cs="Times New Roman"/>
          <w:sz w:val="24"/>
          <w:szCs w:val="24"/>
        </w:rPr>
        <w:t xml:space="preserve">e même, une étude menée en Inde a trouvé que des objets contondants comme des bâtons ou des pierres étaient les agents vulnérants dans environ 40 % des cas de TCE par agression </w:t>
      </w:r>
      <w:r w:rsidR="0010479C">
        <w:rPr>
          <w:rFonts w:ascii="Times New Roman" w:hAnsi="Times New Roman" w:cs="Times New Roman"/>
          <w:sz w:val="24"/>
          <w:szCs w:val="24"/>
        </w:rPr>
        <w:t>(</w:t>
      </w:r>
      <w:r w:rsidR="00726628">
        <w:rPr>
          <w:rFonts w:ascii="Times New Roman" w:hAnsi="Times New Roman" w:cs="Times New Roman"/>
          <w:sz w:val="24"/>
          <w:szCs w:val="24"/>
        </w:rPr>
        <w:t>8</w:t>
      </w:r>
      <w:r w:rsidR="0010479C">
        <w:rPr>
          <w:rFonts w:ascii="Times New Roman" w:hAnsi="Times New Roman" w:cs="Times New Roman"/>
          <w:sz w:val="24"/>
          <w:szCs w:val="24"/>
        </w:rPr>
        <w:t>)</w:t>
      </w:r>
      <w:r w:rsidRPr="007E1BA6">
        <w:rPr>
          <w:rFonts w:ascii="Times New Roman" w:hAnsi="Times New Roman" w:cs="Times New Roman"/>
          <w:sz w:val="24"/>
          <w:szCs w:val="24"/>
        </w:rPr>
        <w:t>. Une étude au Brésil a rapporté que les pierres étaient responsables de 15 % des TCE par agression, particulièrement dans les zones urbaines où elles sont facilement disponibles dans les environnements de construc</w:t>
      </w:r>
      <w:r w:rsidR="0010479C">
        <w:rPr>
          <w:rFonts w:ascii="Times New Roman" w:hAnsi="Times New Roman" w:cs="Times New Roman"/>
          <w:sz w:val="24"/>
          <w:szCs w:val="24"/>
        </w:rPr>
        <w:t>tion ou de routes non pavées (</w:t>
      </w:r>
      <w:r w:rsidR="00726628">
        <w:rPr>
          <w:rFonts w:ascii="Times New Roman" w:hAnsi="Times New Roman" w:cs="Times New Roman"/>
          <w:sz w:val="24"/>
          <w:szCs w:val="24"/>
        </w:rPr>
        <w:t>9</w:t>
      </w:r>
      <w:r w:rsidR="0010479C">
        <w:rPr>
          <w:rFonts w:ascii="Times New Roman" w:hAnsi="Times New Roman" w:cs="Times New Roman"/>
          <w:sz w:val="24"/>
          <w:szCs w:val="24"/>
        </w:rPr>
        <w:t>)</w:t>
      </w:r>
      <w:r w:rsidRPr="007E1BA6">
        <w:rPr>
          <w:rFonts w:ascii="Times New Roman" w:hAnsi="Times New Roman" w:cs="Times New Roman"/>
          <w:sz w:val="24"/>
          <w:szCs w:val="24"/>
        </w:rPr>
        <w:t>.Cette similitude suggère que dans certains contextes, notamment dans les pays en développement, les bâtons et les pierres sont facilement accessibles dans les milieux urbains et ruraux et sont souvent utilisés en raison de leur capacité à causer des blessures graves tout en étant considérés comme moins létaux que les armes tranchantes ou à feu.</w:t>
      </w:r>
    </w:p>
    <w:p w14:paraId="348E6654" w14:textId="77777777" w:rsidR="00514F94" w:rsidRDefault="00514F94" w:rsidP="00BA1192">
      <w:pPr>
        <w:pStyle w:val="Paragraphedeliste"/>
        <w:numPr>
          <w:ilvl w:val="0"/>
          <w:numId w:val="3"/>
        </w:numPr>
        <w:jc w:val="both"/>
        <w:rPr>
          <w:b/>
        </w:rPr>
      </w:pPr>
      <w:r w:rsidRPr="00682118">
        <w:rPr>
          <w:b/>
        </w:rPr>
        <w:t>Paramètres cliniques</w:t>
      </w:r>
      <w:r>
        <w:rPr>
          <w:b/>
        </w:rPr>
        <w:t xml:space="preserve"> et morphologiques</w:t>
      </w:r>
    </w:p>
    <w:p w14:paraId="55F8858C" w14:textId="77777777" w:rsidR="00726628" w:rsidRPr="00682118" w:rsidRDefault="00726628" w:rsidP="00BA1192">
      <w:pPr>
        <w:pStyle w:val="Paragraphedeliste"/>
        <w:jc w:val="both"/>
        <w:rPr>
          <w:b/>
        </w:rPr>
      </w:pPr>
    </w:p>
    <w:p w14:paraId="3A282E51" w14:textId="77777777" w:rsidR="00C40A61" w:rsidRDefault="00C40A61" w:rsidP="00BA1192">
      <w:pPr>
        <w:pStyle w:val="Paragraphedeliste"/>
        <w:numPr>
          <w:ilvl w:val="1"/>
          <w:numId w:val="3"/>
        </w:numPr>
        <w:jc w:val="both"/>
        <w:rPr>
          <w:b/>
        </w:rPr>
      </w:pPr>
      <w:r w:rsidRPr="00726628">
        <w:rPr>
          <w:b/>
        </w:rPr>
        <w:lastRenderedPageBreak/>
        <w:t>Localisation lésionnelle</w:t>
      </w:r>
    </w:p>
    <w:p w14:paraId="3285A6D4" w14:textId="77777777" w:rsidR="00726628" w:rsidRPr="00726628" w:rsidRDefault="00726628" w:rsidP="00BA1192">
      <w:pPr>
        <w:pStyle w:val="Paragraphedeliste"/>
        <w:jc w:val="both"/>
        <w:rPr>
          <w:b/>
        </w:rPr>
      </w:pPr>
    </w:p>
    <w:p w14:paraId="4C5DDED8" w14:textId="77777777" w:rsidR="00427565" w:rsidRDefault="000F78FC" w:rsidP="00BA1192">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L</w:t>
      </w:r>
      <w:r w:rsidRPr="000F78FC">
        <w:rPr>
          <w:rFonts w:ascii="Times New Roman" w:hAnsi="Times New Roman" w:cs="Times New Roman"/>
          <w:sz w:val="24"/>
          <w:szCs w:val="24"/>
        </w:rPr>
        <w:t xml:space="preserve">'étude menée par </w:t>
      </w:r>
      <w:proofErr w:type="spellStart"/>
      <w:r w:rsidRPr="000F78FC">
        <w:rPr>
          <w:rFonts w:ascii="Times New Roman" w:hAnsi="Times New Roman" w:cs="Times New Roman"/>
          <w:sz w:val="24"/>
          <w:szCs w:val="24"/>
        </w:rPr>
        <w:t>Naidoo</w:t>
      </w:r>
      <w:proofErr w:type="spellEnd"/>
      <w:r w:rsidRPr="000F78FC">
        <w:rPr>
          <w:rFonts w:ascii="Times New Roman" w:hAnsi="Times New Roman" w:cs="Times New Roman"/>
          <w:sz w:val="24"/>
          <w:szCs w:val="24"/>
        </w:rPr>
        <w:t xml:space="preserve"> et al. (2018) en Afrique du Sud sur les traumatismes crâniens par agression montre également une prédominance des lésions pariétales et frontales. De même, Sharma et al. </w:t>
      </w:r>
      <w:proofErr w:type="gramStart"/>
      <w:r w:rsidRPr="000F78FC">
        <w:rPr>
          <w:rFonts w:ascii="Times New Roman" w:hAnsi="Times New Roman" w:cs="Times New Roman"/>
          <w:sz w:val="24"/>
          <w:szCs w:val="24"/>
        </w:rPr>
        <w:t>en</w:t>
      </w:r>
      <w:proofErr w:type="gramEnd"/>
      <w:r w:rsidRPr="000F78FC">
        <w:rPr>
          <w:rFonts w:ascii="Times New Roman" w:hAnsi="Times New Roman" w:cs="Times New Roman"/>
          <w:sz w:val="24"/>
          <w:szCs w:val="24"/>
        </w:rPr>
        <w:t xml:space="preserve"> Inde ont observé que les lésions frontales et pariétales sont les plus courantes dans les traumatismes </w:t>
      </w:r>
      <w:r>
        <w:rPr>
          <w:rFonts w:ascii="Times New Roman" w:hAnsi="Times New Roman" w:cs="Times New Roman"/>
          <w:sz w:val="24"/>
          <w:szCs w:val="24"/>
        </w:rPr>
        <w:t xml:space="preserve">crâniens dus à des agressions. </w:t>
      </w:r>
      <w:r w:rsidRPr="000F78FC">
        <w:rPr>
          <w:rFonts w:ascii="Times New Roman" w:hAnsi="Times New Roman" w:cs="Times New Roman"/>
          <w:sz w:val="24"/>
          <w:szCs w:val="24"/>
        </w:rPr>
        <w:t>Leur étude indiquait que les lésions frontales représentaient environ 25 %, ce qui est pro</w:t>
      </w:r>
      <w:r w:rsidR="00502851">
        <w:rPr>
          <w:rFonts w:ascii="Times New Roman" w:hAnsi="Times New Roman" w:cs="Times New Roman"/>
          <w:sz w:val="24"/>
          <w:szCs w:val="24"/>
        </w:rPr>
        <w:t>che de notre proportion de 18</w:t>
      </w:r>
      <w:r w:rsidRPr="000F78FC">
        <w:rPr>
          <w:rFonts w:ascii="Times New Roman" w:hAnsi="Times New Roman" w:cs="Times New Roman"/>
          <w:sz w:val="24"/>
          <w:szCs w:val="24"/>
        </w:rPr>
        <w:t xml:space="preserve"> % pour les lé</w:t>
      </w:r>
      <w:r w:rsidR="0010479C">
        <w:rPr>
          <w:rFonts w:ascii="Times New Roman" w:hAnsi="Times New Roman" w:cs="Times New Roman"/>
          <w:sz w:val="24"/>
          <w:szCs w:val="24"/>
        </w:rPr>
        <w:t>sions frontales (</w:t>
      </w:r>
      <w:r w:rsidR="00726628">
        <w:rPr>
          <w:rFonts w:ascii="Times New Roman" w:hAnsi="Times New Roman" w:cs="Times New Roman"/>
          <w:sz w:val="24"/>
          <w:szCs w:val="24"/>
        </w:rPr>
        <w:t>8</w:t>
      </w:r>
      <w:r w:rsidR="0010479C">
        <w:rPr>
          <w:rFonts w:ascii="Times New Roman" w:hAnsi="Times New Roman" w:cs="Times New Roman"/>
          <w:sz w:val="24"/>
          <w:szCs w:val="24"/>
        </w:rPr>
        <w:t>)</w:t>
      </w:r>
      <w:r w:rsidRPr="000F78FC">
        <w:rPr>
          <w:rFonts w:ascii="Times New Roman" w:hAnsi="Times New Roman" w:cs="Times New Roman"/>
          <w:sz w:val="24"/>
          <w:szCs w:val="24"/>
        </w:rPr>
        <w:t xml:space="preserve">. </w:t>
      </w:r>
      <w:proofErr w:type="spellStart"/>
      <w:r w:rsidRPr="000F78FC">
        <w:rPr>
          <w:rFonts w:ascii="Times New Roman" w:hAnsi="Times New Roman" w:cs="Times New Roman"/>
          <w:sz w:val="24"/>
          <w:szCs w:val="24"/>
        </w:rPr>
        <w:t>Nabunya</w:t>
      </w:r>
      <w:proofErr w:type="spellEnd"/>
      <w:r w:rsidRPr="000F78FC">
        <w:rPr>
          <w:rFonts w:ascii="Times New Roman" w:hAnsi="Times New Roman" w:cs="Times New Roman"/>
          <w:sz w:val="24"/>
          <w:szCs w:val="24"/>
        </w:rPr>
        <w:t xml:space="preserve"> et al. (2020), dans leur étude en Ouganda, ont observé une prévalence élevée des lésions fr</w:t>
      </w:r>
      <w:r w:rsidR="00502851">
        <w:rPr>
          <w:rFonts w:ascii="Times New Roman" w:hAnsi="Times New Roman" w:cs="Times New Roman"/>
          <w:sz w:val="24"/>
          <w:szCs w:val="24"/>
        </w:rPr>
        <w:t>ontales (33 %) et pariétales (27</w:t>
      </w:r>
      <w:r w:rsidRPr="000F78FC">
        <w:rPr>
          <w:rFonts w:ascii="Times New Roman" w:hAnsi="Times New Roman" w:cs="Times New Roman"/>
          <w:sz w:val="24"/>
          <w:szCs w:val="24"/>
        </w:rPr>
        <w:t>%), confirmant également la prédisposition aux t</w:t>
      </w:r>
      <w:r w:rsidR="0010479C">
        <w:rPr>
          <w:rFonts w:ascii="Times New Roman" w:hAnsi="Times New Roman" w:cs="Times New Roman"/>
          <w:sz w:val="24"/>
          <w:szCs w:val="24"/>
        </w:rPr>
        <w:t>raumatismes dans ces régions (</w:t>
      </w:r>
      <w:r w:rsidR="00502851">
        <w:rPr>
          <w:rFonts w:ascii="Times New Roman" w:hAnsi="Times New Roman" w:cs="Times New Roman"/>
          <w:sz w:val="24"/>
          <w:szCs w:val="24"/>
        </w:rPr>
        <w:t>19</w:t>
      </w:r>
      <w:r w:rsidR="0010479C">
        <w:rPr>
          <w:rFonts w:ascii="Times New Roman" w:hAnsi="Times New Roman" w:cs="Times New Roman"/>
          <w:sz w:val="24"/>
          <w:szCs w:val="24"/>
        </w:rPr>
        <w:t>)</w:t>
      </w:r>
      <w:r w:rsidR="00502851">
        <w:rPr>
          <w:rFonts w:ascii="Times New Roman" w:hAnsi="Times New Roman" w:cs="Times New Roman"/>
          <w:sz w:val="24"/>
          <w:szCs w:val="24"/>
        </w:rPr>
        <w:t xml:space="preserve">. </w:t>
      </w:r>
      <w:r w:rsidRPr="000F78FC">
        <w:rPr>
          <w:rFonts w:ascii="Times New Roman" w:hAnsi="Times New Roman" w:cs="Times New Roman"/>
          <w:sz w:val="24"/>
          <w:szCs w:val="24"/>
        </w:rPr>
        <w:t>Ces résultats sont cohérents avec ceux observés dans notre série.  Cette prédominance des lésions pariétales et frontales sont fréquentes en raison de la nature des agressions, souvent impliquant des coups portés sur la tête avec des objets contondants ou pointus, ciblant principalement le côté su</w:t>
      </w:r>
      <w:r w:rsidR="00502851">
        <w:rPr>
          <w:rFonts w:ascii="Times New Roman" w:hAnsi="Times New Roman" w:cs="Times New Roman"/>
          <w:sz w:val="24"/>
          <w:szCs w:val="24"/>
        </w:rPr>
        <w:t>périeur et antérieur du crâ</w:t>
      </w:r>
      <w:r w:rsidR="0010479C">
        <w:rPr>
          <w:rFonts w:ascii="Times New Roman" w:hAnsi="Times New Roman" w:cs="Times New Roman"/>
          <w:sz w:val="24"/>
          <w:szCs w:val="24"/>
        </w:rPr>
        <w:t>ne (</w:t>
      </w:r>
      <w:r w:rsidR="00502851">
        <w:rPr>
          <w:rFonts w:ascii="Times New Roman" w:hAnsi="Times New Roman" w:cs="Times New Roman"/>
          <w:sz w:val="24"/>
          <w:szCs w:val="24"/>
        </w:rPr>
        <w:t>1</w:t>
      </w:r>
      <w:r w:rsidR="0010479C">
        <w:rPr>
          <w:rFonts w:ascii="Times New Roman" w:hAnsi="Times New Roman" w:cs="Times New Roman"/>
          <w:sz w:val="24"/>
          <w:szCs w:val="24"/>
        </w:rPr>
        <w:t>2)</w:t>
      </w:r>
      <w:r w:rsidRPr="000F78FC">
        <w:rPr>
          <w:rFonts w:ascii="Times New Roman" w:hAnsi="Times New Roman" w:cs="Times New Roman"/>
          <w:sz w:val="24"/>
          <w:szCs w:val="24"/>
        </w:rPr>
        <w:t>.</w:t>
      </w:r>
    </w:p>
    <w:p w14:paraId="483AD76A" w14:textId="77777777" w:rsidR="00C40A61" w:rsidRDefault="00C40A61" w:rsidP="00BA1192">
      <w:pPr>
        <w:pStyle w:val="Paragraphedeliste"/>
        <w:numPr>
          <w:ilvl w:val="1"/>
          <w:numId w:val="3"/>
        </w:numPr>
        <w:jc w:val="both"/>
        <w:rPr>
          <w:b/>
        </w:rPr>
      </w:pPr>
      <w:r w:rsidRPr="00726628">
        <w:rPr>
          <w:b/>
        </w:rPr>
        <w:t>Type des lésions</w:t>
      </w:r>
    </w:p>
    <w:p w14:paraId="1466DA46" w14:textId="77777777" w:rsidR="00E74B81" w:rsidRPr="00726628" w:rsidRDefault="00E74B81" w:rsidP="00BA1192">
      <w:pPr>
        <w:pStyle w:val="Paragraphedeliste"/>
        <w:jc w:val="both"/>
        <w:rPr>
          <w:b/>
        </w:rPr>
      </w:pPr>
    </w:p>
    <w:p w14:paraId="48D05DF6" w14:textId="77777777" w:rsidR="00C40A61" w:rsidRDefault="00C40A61" w:rsidP="00BA1192">
      <w:pPr>
        <w:spacing w:line="240" w:lineRule="auto"/>
        <w:ind w:firstLine="360"/>
        <w:jc w:val="both"/>
        <w:rPr>
          <w:rFonts w:ascii="Times New Roman" w:hAnsi="Times New Roman" w:cs="Times New Roman"/>
          <w:sz w:val="24"/>
          <w:szCs w:val="24"/>
        </w:rPr>
      </w:pPr>
      <w:r w:rsidRPr="00C40A61">
        <w:rPr>
          <w:rFonts w:ascii="Times New Roman" w:hAnsi="Times New Roman" w:cs="Times New Roman"/>
          <w:sz w:val="24"/>
          <w:szCs w:val="24"/>
        </w:rPr>
        <w:t xml:space="preserve">Une étude faite par </w:t>
      </w:r>
      <w:proofErr w:type="spellStart"/>
      <w:r w:rsidRPr="00C40A61">
        <w:rPr>
          <w:rFonts w:ascii="Times New Roman" w:hAnsi="Times New Roman" w:cs="Times New Roman"/>
          <w:sz w:val="24"/>
          <w:szCs w:val="24"/>
        </w:rPr>
        <w:t>Odero</w:t>
      </w:r>
      <w:proofErr w:type="spellEnd"/>
      <w:r w:rsidRPr="00C40A61">
        <w:rPr>
          <w:rFonts w:ascii="Times New Roman" w:hAnsi="Times New Roman" w:cs="Times New Roman"/>
          <w:sz w:val="24"/>
          <w:szCs w:val="24"/>
        </w:rPr>
        <w:t xml:space="preserve"> et al. </w:t>
      </w:r>
      <w:proofErr w:type="gramStart"/>
      <w:r w:rsidRPr="00C40A61">
        <w:rPr>
          <w:rFonts w:ascii="Times New Roman" w:hAnsi="Times New Roman" w:cs="Times New Roman"/>
          <w:sz w:val="24"/>
          <w:szCs w:val="24"/>
        </w:rPr>
        <w:t>en</w:t>
      </w:r>
      <w:proofErr w:type="gramEnd"/>
      <w:r w:rsidRPr="00C40A61">
        <w:rPr>
          <w:rFonts w:ascii="Times New Roman" w:hAnsi="Times New Roman" w:cs="Times New Roman"/>
          <w:sz w:val="24"/>
          <w:szCs w:val="24"/>
        </w:rPr>
        <w:t xml:space="preserve"> 2019 examinait les caractéristiques des traumatismes dans les pays à revenu faible et intermédiaire d'Afrique subsaharienne</w:t>
      </w:r>
      <w:r w:rsidR="0010479C">
        <w:rPr>
          <w:rFonts w:ascii="Times New Roman" w:hAnsi="Times New Roman" w:cs="Times New Roman"/>
          <w:sz w:val="24"/>
          <w:szCs w:val="24"/>
        </w:rPr>
        <w:t xml:space="preserve"> (20)</w:t>
      </w:r>
      <w:r w:rsidRPr="00C40A61">
        <w:rPr>
          <w:rFonts w:ascii="Times New Roman" w:hAnsi="Times New Roman" w:cs="Times New Roman"/>
          <w:sz w:val="24"/>
          <w:szCs w:val="24"/>
        </w:rPr>
        <w:t>.Elle a rapporté une forte prévalence des fractures crâniennes et des hémorragies intracrâniennes, confirmant que ces lésions sont fréquentes dans les contextes de violence interpersonnelle</w:t>
      </w:r>
      <w:r>
        <w:rPr>
          <w:rFonts w:ascii="Times New Roman" w:hAnsi="Times New Roman" w:cs="Times New Roman"/>
          <w:sz w:val="24"/>
          <w:szCs w:val="24"/>
        </w:rPr>
        <w:t>.</w:t>
      </w:r>
    </w:p>
    <w:p w14:paraId="7CB1787C" w14:textId="77777777" w:rsidR="00E74B81" w:rsidRDefault="00C40A61" w:rsidP="00BA1192">
      <w:pPr>
        <w:spacing w:line="240" w:lineRule="auto"/>
        <w:ind w:firstLine="360"/>
        <w:jc w:val="both"/>
        <w:rPr>
          <w:rFonts w:ascii="Times New Roman" w:hAnsi="Times New Roman" w:cs="Times New Roman"/>
          <w:sz w:val="24"/>
          <w:szCs w:val="24"/>
        </w:rPr>
      </w:pPr>
      <w:r w:rsidRPr="00C40A61">
        <w:rPr>
          <w:rFonts w:ascii="Times New Roman" w:hAnsi="Times New Roman" w:cs="Times New Roman"/>
          <w:sz w:val="24"/>
          <w:szCs w:val="24"/>
        </w:rPr>
        <w:t>Sharma et al dans leur étude en Inde ont également documenté une prévalence élevée de fractures crâniennes dans les traumatismes crâniens par agression, où environ 40 % des patients présentaient des fractures, compar</w:t>
      </w:r>
      <w:r w:rsidR="0010479C">
        <w:rPr>
          <w:rFonts w:ascii="Times New Roman" w:hAnsi="Times New Roman" w:cs="Times New Roman"/>
          <w:sz w:val="24"/>
          <w:szCs w:val="24"/>
        </w:rPr>
        <w:t>able à notre étude (41,13 %) (</w:t>
      </w:r>
      <w:r w:rsidR="00E74B81">
        <w:rPr>
          <w:rFonts w:ascii="Times New Roman" w:hAnsi="Times New Roman" w:cs="Times New Roman"/>
          <w:sz w:val="24"/>
          <w:szCs w:val="24"/>
        </w:rPr>
        <w:t>8</w:t>
      </w:r>
      <w:r w:rsidR="0010479C">
        <w:rPr>
          <w:rFonts w:ascii="Times New Roman" w:hAnsi="Times New Roman" w:cs="Times New Roman"/>
          <w:sz w:val="24"/>
          <w:szCs w:val="24"/>
        </w:rPr>
        <w:t>)</w:t>
      </w:r>
      <w:r w:rsidRPr="00C40A61">
        <w:rPr>
          <w:rFonts w:ascii="Times New Roman" w:hAnsi="Times New Roman" w:cs="Times New Roman"/>
          <w:sz w:val="24"/>
          <w:szCs w:val="24"/>
        </w:rPr>
        <w:t xml:space="preserve">. En Ouganda, </w:t>
      </w:r>
      <w:proofErr w:type="spellStart"/>
      <w:r w:rsidRPr="00C40A61">
        <w:rPr>
          <w:rFonts w:ascii="Times New Roman" w:hAnsi="Times New Roman" w:cs="Times New Roman"/>
          <w:sz w:val="24"/>
          <w:szCs w:val="24"/>
        </w:rPr>
        <w:t>Nabunya</w:t>
      </w:r>
      <w:proofErr w:type="spellEnd"/>
      <w:r w:rsidRPr="00C40A61">
        <w:rPr>
          <w:rFonts w:ascii="Times New Roman" w:hAnsi="Times New Roman" w:cs="Times New Roman"/>
          <w:sz w:val="24"/>
          <w:szCs w:val="24"/>
        </w:rPr>
        <w:t xml:space="preserve"> et al. </w:t>
      </w:r>
      <w:proofErr w:type="gramStart"/>
      <w:r w:rsidRPr="00C40A61">
        <w:rPr>
          <w:rFonts w:ascii="Times New Roman" w:hAnsi="Times New Roman" w:cs="Times New Roman"/>
          <w:sz w:val="24"/>
          <w:szCs w:val="24"/>
        </w:rPr>
        <w:t>dans</w:t>
      </w:r>
      <w:proofErr w:type="gramEnd"/>
      <w:r w:rsidRPr="00C40A61">
        <w:rPr>
          <w:rFonts w:ascii="Times New Roman" w:hAnsi="Times New Roman" w:cs="Times New Roman"/>
          <w:sz w:val="24"/>
          <w:szCs w:val="24"/>
        </w:rPr>
        <w:t xml:space="preserve"> leur étude sur les traumatismes crâniens ont également observé une prédominance similaire de fractures crâniennes parmi les </w:t>
      </w:r>
      <w:r w:rsidRPr="00C40A61">
        <w:rPr>
          <w:rFonts w:ascii="Times New Roman" w:hAnsi="Times New Roman" w:cs="Times New Roman"/>
          <w:sz w:val="24"/>
          <w:szCs w:val="24"/>
        </w:rPr>
        <w:lastRenderedPageBreak/>
        <w:t>lésions chez les victimes de traumatismes crâniens par agression, avec environ 38 % des patie</w:t>
      </w:r>
      <w:r w:rsidR="0010479C">
        <w:rPr>
          <w:rFonts w:ascii="Times New Roman" w:hAnsi="Times New Roman" w:cs="Times New Roman"/>
          <w:sz w:val="24"/>
          <w:szCs w:val="24"/>
        </w:rPr>
        <w:t>nts présentant des fractures (</w:t>
      </w:r>
      <w:r w:rsidR="00E74B81">
        <w:rPr>
          <w:rFonts w:ascii="Times New Roman" w:hAnsi="Times New Roman" w:cs="Times New Roman"/>
          <w:sz w:val="24"/>
          <w:szCs w:val="24"/>
        </w:rPr>
        <w:t>19</w:t>
      </w:r>
      <w:r w:rsidR="0010479C">
        <w:rPr>
          <w:rFonts w:ascii="Times New Roman" w:hAnsi="Times New Roman" w:cs="Times New Roman"/>
          <w:sz w:val="24"/>
          <w:szCs w:val="24"/>
        </w:rPr>
        <w:t>)</w:t>
      </w:r>
      <w:r w:rsidRPr="00C40A61">
        <w:rPr>
          <w:rFonts w:ascii="Times New Roman" w:hAnsi="Times New Roman" w:cs="Times New Roman"/>
          <w:sz w:val="24"/>
          <w:szCs w:val="24"/>
        </w:rPr>
        <w:t xml:space="preserve">.  </w:t>
      </w:r>
      <w:proofErr w:type="spellStart"/>
      <w:r w:rsidRPr="00C40A61">
        <w:rPr>
          <w:rFonts w:ascii="Times New Roman" w:hAnsi="Times New Roman" w:cs="Times New Roman"/>
          <w:sz w:val="24"/>
          <w:szCs w:val="24"/>
        </w:rPr>
        <w:t>Naidoo</w:t>
      </w:r>
      <w:proofErr w:type="spellEnd"/>
      <w:r w:rsidRPr="00C40A61">
        <w:rPr>
          <w:rFonts w:ascii="Times New Roman" w:hAnsi="Times New Roman" w:cs="Times New Roman"/>
          <w:sz w:val="24"/>
          <w:szCs w:val="24"/>
        </w:rPr>
        <w:t xml:space="preserve"> et al. </w:t>
      </w:r>
      <w:proofErr w:type="gramStart"/>
      <w:r w:rsidRPr="00C40A61">
        <w:rPr>
          <w:rFonts w:ascii="Times New Roman" w:hAnsi="Times New Roman" w:cs="Times New Roman"/>
          <w:sz w:val="24"/>
          <w:szCs w:val="24"/>
        </w:rPr>
        <w:t>en</w:t>
      </w:r>
      <w:proofErr w:type="gramEnd"/>
      <w:r w:rsidRPr="00C40A61">
        <w:rPr>
          <w:rFonts w:ascii="Times New Roman" w:hAnsi="Times New Roman" w:cs="Times New Roman"/>
          <w:sz w:val="24"/>
          <w:szCs w:val="24"/>
        </w:rPr>
        <w:t xml:space="preserve"> Afrique du Sud ont trouvé dans leur étude que les fractures crâniennes constituaient également une part importante des lésions observées dans les traumatismes crâniens dus aux agressions, bien qu'elles soient moins fréquentes que les hémorragies intracrâniennes. Ils ont constaté que les fractures du crâne représentaient 30,01 % et les hémorragies</w:t>
      </w:r>
      <w:r w:rsidR="0010479C">
        <w:rPr>
          <w:rFonts w:ascii="Times New Roman" w:hAnsi="Times New Roman" w:cs="Times New Roman"/>
          <w:sz w:val="24"/>
          <w:szCs w:val="24"/>
        </w:rPr>
        <w:t xml:space="preserve"> intracrâniennes 35 % des cas (</w:t>
      </w:r>
      <w:r w:rsidR="00E74B81">
        <w:rPr>
          <w:rFonts w:ascii="Times New Roman" w:hAnsi="Times New Roman" w:cs="Times New Roman"/>
          <w:sz w:val="24"/>
          <w:szCs w:val="24"/>
        </w:rPr>
        <w:t>1</w:t>
      </w:r>
      <w:r w:rsidR="0010479C">
        <w:rPr>
          <w:rFonts w:ascii="Times New Roman" w:hAnsi="Times New Roman" w:cs="Times New Roman"/>
          <w:sz w:val="24"/>
          <w:szCs w:val="24"/>
        </w:rPr>
        <w:t>2)</w:t>
      </w:r>
      <w:r w:rsidRPr="00C40A61">
        <w:rPr>
          <w:rFonts w:ascii="Times New Roman" w:hAnsi="Times New Roman" w:cs="Times New Roman"/>
          <w:sz w:val="24"/>
          <w:szCs w:val="24"/>
        </w:rPr>
        <w:t xml:space="preserve">. Cette cohérence avec nos résultats souligne le fait que, dans le contexte des pays en développement, les agressions violentes mènent souvent à des fractures crâniennes sévères en raison des méthodes utilisées. Les fractures crâniennes représentent souvent alors les conséquences directes d'impacts violents et ciblés sur le crâne, confirmant l'usage fréquent d'objets contondants dans les agressions dans ces pays. </w:t>
      </w:r>
    </w:p>
    <w:p w14:paraId="3F68303F" w14:textId="77777777" w:rsidR="00C40A61" w:rsidRDefault="00C40A61" w:rsidP="00BA1192">
      <w:pPr>
        <w:spacing w:line="240" w:lineRule="auto"/>
        <w:ind w:firstLine="360"/>
        <w:jc w:val="both"/>
        <w:rPr>
          <w:rFonts w:ascii="Times New Roman" w:hAnsi="Times New Roman" w:cs="Times New Roman"/>
          <w:sz w:val="24"/>
          <w:szCs w:val="24"/>
        </w:rPr>
      </w:pPr>
      <w:r w:rsidRPr="00C40A61">
        <w:rPr>
          <w:rFonts w:ascii="Times New Roman" w:hAnsi="Times New Roman" w:cs="Times New Roman"/>
          <w:sz w:val="24"/>
          <w:szCs w:val="24"/>
        </w:rPr>
        <w:t xml:space="preserve">En revanche, l'étude de Silva et al. </w:t>
      </w:r>
      <w:proofErr w:type="gramStart"/>
      <w:r w:rsidRPr="00C40A61">
        <w:rPr>
          <w:rFonts w:ascii="Times New Roman" w:hAnsi="Times New Roman" w:cs="Times New Roman"/>
          <w:sz w:val="24"/>
          <w:szCs w:val="24"/>
        </w:rPr>
        <w:t>au</w:t>
      </w:r>
      <w:proofErr w:type="gramEnd"/>
      <w:r w:rsidRPr="00C40A61">
        <w:rPr>
          <w:rFonts w:ascii="Times New Roman" w:hAnsi="Times New Roman" w:cs="Times New Roman"/>
          <w:sz w:val="24"/>
          <w:szCs w:val="24"/>
        </w:rPr>
        <w:t xml:space="preserve"> Brésil a observé une fréquence plus élevée d'hémorragies intracrâniennes (40 %) par rapport aux</w:t>
      </w:r>
      <w:r w:rsidR="0010479C">
        <w:rPr>
          <w:rFonts w:ascii="Times New Roman" w:hAnsi="Times New Roman" w:cs="Times New Roman"/>
          <w:sz w:val="24"/>
          <w:szCs w:val="24"/>
        </w:rPr>
        <w:t xml:space="preserve"> fractures crâniennes (25 %) (</w:t>
      </w:r>
      <w:r w:rsidR="00E74B81">
        <w:rPr>
          <w:rFonts w:ascii="Times New Roman" w:hAnsi="Times New Roman" w:cs="Times New Roman"/>
          <w:sz w:val="24"/>
          <w:szCs w:val="24"/>
        </w:rPr>
        <w:t>9</w:t>
      </w:r>
      <w:r w:rsidR="0010479C">
        <w:rPr>
          <w:rFonts w:ascii="Times New Roman" w:hAnsi="Times New Roman" w:cs="Times New Roman"/>
          <w:sz w:val="24"/>
          <w:szCs w:val="24"/>
        </w:rPr>
        <w:t>)</w:t>
      </w:r>
      <w:r w:rsidR="00E74B81">
        <w:rPr>
          <w:rFonts w:ascii="Times New Roman" w:hAnsi="Times New Roman" w:cs="Times New Roman"/>
          <w:sz w:val="24"/>
          <w:szCs w:val="24"/>
        </w:rPr>
        <w:t xml:space="preserve">. </w:t>
      </w:r>
      <w:r w:rsidRPr="00C40A61">
        <w:rPr>
          <w:rFonts w:ascii="Times New Roman" w:hAnsi="Times New Roman" w:cs="Times New Roman"/>
          <w:sz w:val="24"/>
          <w:szCs w:val="24"/>
        </w:rPr>
        <w:t xml:space="preserve">Cette différence peut être </w:t>
      </w:r>
      <w:r w:rsidR="00E74B81">
        <w:rPr>
          <w:rFonts w:ascii="Times New Roman" w:hAnsi="Times New Roman" w:cs="Times New Roman"/>
          <w:sz w:val="24"/>
          <w:szCs w:val="24"/>
        </w:rPr>
        <w:t>attribuée aux types d'agression</w:t>
      </w:r>
      <w:r w:rsidRPr="00C40A61">
        <w:rPr>
          <w:rFonts w:ascii="Times New Roman" w:hAnsi="Times New Roman" w:cs="Times New Roman"/>
          <w:sz w:val="24"/>
          <w:szCs w:val="24"/>
        </w:rPr>
        <w:t xml:space="preserve"> et aux méthodes utilisées pour infliger les blessures, qui varient selon les co</w:t>
      </w:r>
      <w:r w:rsidR="00E74B81">
        <w:rPr>
          <w:rFonts w:ascii="Times New Roman" w:hAnsi="Times New Roman" w:cs="Times New Roman"/>
          <w:sz w:val="24"/>
          <w:szCs w:val="24"/>
        </w:rPr>
        <w:t>ntexte</w:t>
      </w:r>
      <w:r w:rsidR="0010479C">
        <w:rPr>
          <w:rFonts w:ascii="Times New Roman" w:hAnsi="Times New Roman" w:cs="Times New Roman"/>
          <w:sz w:val="24"/>
          <w:szCs w:val="24"/>
        </w:rPr>
        <w:t>s culturels et sociaux (</w:t>
      </w:r>
      <w:r w:rsidR="00E74B81">
        <w:rPr>
          <w:rFonts w:ascii="Times New Roman" w:hAnsi="Times New Roman" w:cs="Times New Roman"/>
          <w:sz w:val="24"/>
          <w:szCs w:val="24"/>
        </w:rPr>
        <w:t>9</w:t>
      </w:r>
      <w:r w:rsidR="0010479C">
        <w:rPr>
          <w:rFonts w:ascii="Times New Roman" w:hAnsi="Times New Roman" w:cs="Times New Roman"/>
          <w:sz w:val="24"/>
          <w:szCs w:val="24"/>
        </w:rPr>
        <w:t>)</w:t>
      </w:r>
      <w:r w:rsidRPr="00C40A61">
        <w:rPr>
          <w:rFonts w:ascii="Times New Roman" w:hAnsi="Times New Roman" w:cs="Times New Roman"/>
          <w:sz w:val="24"/>
          <w:szCs w:val="24"/>
        </w:rPr>
        <w:t>. Dans notre étude, la proportion</w:t>
      </w:r>
      <w:r w:rsidR="00EE4CC1">
        <w:rPr>
          <w:rFonts w:ascii="Times New Roman" w:hAnsi="Times New Roman" w:cs="Times New Roman"/>
          <w:sz w:val="24"/>
          <w:szCs w:val="24"/>
        </w:rPr>
        <w:t xml:space="preserve"> plus élevée de fractures (47</w:t>
      </w:r>
      <w:r w:rsidRPr="00C40A61">
        <w:rPr>
          <w:rFonts w:ascii="Times New Roman" w:hAnsi="Times New Roman" w:cs="Times New Roman"/>
          <w:sz w:val="24"/>
          <w:szCs w:val="24"/>
        </w:rPr>
        <w:t>%) pourrait être due à des coups violents ou à l'utilisation d'objets lourds, caractéristiques des agressions à Antsiranana.</w:t>
      </w:r>
    </w:p>
    <w:p w14:paraId="1B0FBCD4" w14:textId="77777777" w:rsidR="00C40A61" w:rsidRDefault="00C40A61" w:rsidP="00BA1192">
      <w:pPr>
        <w:spacing w:line="240" w:lineRule="auto"/>
        <w:ind w:firstLine="360"/>
        <w:jc w:val="both"/>
        <w:rPr>
          <w:rFonts w:ascii="Times New Roman" w:hAnsi="Times New Roman" w:cs="Times New Roman"/>
          <w:sz w:val="24"/>
          <w:szCs w:val="24"/>
        </w:rPr>
      </w:pPr>
      <w:r w:rsidRPr="00C40A61">
        <w:rPr>
          <w:rFonts w:ascii="Times New Roman" w:hAnsi="Times New Roman" w:cs="Times New Roman"/>
          <w:sz w:val="24"/>
          <w:szCs w:val="24"/>
        </w:rPr>
        <w:t>Les résultats de notre étude montraient une p</w:t>
      </w:r>
      <w:r>
        <w:rPr>
          <w:rFonts w:ascii="Times New Roman" w:hAnsi="Times New Roman" w:cs="Times New Roman"/>
          <w:sz w:val="24"/>
          <w:szCs w:val="24"/>
        </w:rPr>
        <w:t>révalence élevée d'HED, en accord</w:t>
      </w:r>
      <w:r w:rsidRPr="00C40A61">
        <w:rPr>
          <w:rFonts w:ascii="Times New Roman" w:hAnsi="Times New Roman" w:cs="Times New Roman"/>
          <w:sz w:val="24"/>
          <w:szCs w:val="24"/>
        </w:rPr>
        <w:t xml:space="preserve"> avec les observations de </w:t>
      </w:r>
      <w:proofErr w:type="spellStart"/>
      <w:r w:rsidRPr="00C40A61">
        <w:rPr>
          <w:rFonts w:ascii="Times New Roman" w:hAnsi="Times New Roman" w:cs="Times New Roman"/>
          <w:sz w:val="24"/>
          <w:szCs w:val="24"/>
        </w:rPr>
        <w:t>Naidoo</w:t>
      </w:r>
      <w:proofErr w:type="spellEnd"/>
      <w:r w:rsidRPr="00C40A61">
        <w:rPr>
          <w:rFonts w:ascii="Times New Roman" w:hAnsi="Times New Roman" w:cs="Times New Roman"/>
          <w:sz w:val="24"/>
          <w:szCs w:val="24"/>
        </w:rPr>
        <w:t xml:space="preserve"> et al. </w:t>
      </w:r>
      <w:proofErr w:type="gramStart"/>
      <w:r w:rsidRPr="00C40A61">
        <w:rPr>
          <w:rFonts w:ascii="Times New Roman" w:hAnsi="Times New Roman" w:cs="Times New Roman"/>
          <w:sz w:val="24"/>
          <w:szCs w:val="24"/>
        </w:rPr>
        <w:t>en</w:t>
      </w:r>
      <w:proofErr w:type="gramEnd"/>
      <w:r w:rsidRPr="00C40A61">
        <w:rPr>
          <w:rFonts w:ascii="Times New Roman" w:hAnsi="Times New Roman" w:cs="Times New Roman"/>
          <w:sz w:val="24"/>
          <w:szCs w:val="24"/>
        </w:rPr>
        <w:t xml:space="preserve"> Afrique du Sud, où les hémorragies extradurales étaient également courantes dans les cas de traumatismes crâniens liés aux agressions, représentant environ 50,10 % de</w:t>
      </w:r>
      <w:r w:rsidR="00EE4CC1">
        <w:rPr>
          <w:rFonts w:ascii="Times New Roman" w:hAnsi="Times New Roman" w:cs="Times New Roman"/>
          <w:sz w:val="24"/>
          <w:szCs w:val="24"/>
        </w:rPr>
        <w:t>s hémorragie</w:t>
      </w:r>
      <w:r w:rsidR="0010479C">
        <w:rPr>
          <w:rFonts w:ascii="Times New Roman" w:hAnsi="Times New Roman" w:cs="Times New Roman"/>
          <w:sz w:val="24"/>
          <w:szCs w:val="24"/>
        </w:rPr>
        <w:t>s intracrâniennes (</w:t>
      </w:r>
      <w:r w:rsidR="00EE4CC1">
        <w:rPr>
          <w:rFonts w:ascii="Times New Roman" w:hAnsi="Times New Roman" w:cs="Times New Roman"/>
          <w:sz w:val="24"/>
          <w:szCs w:val="24"/>
        </w:rPr>
        <w:t>1</w:t>
      </w:r>
      <w:r w:rsidR="0010479C">
        <w:rPr>
          <w:rFonts w:ascii="Times New Roman" w:hAnsi="Times New Roman" w:cs="Times New Roman"/>
          <w:sz w:val="24"/>
          <w:szCs w:val="24"/>
        </w:rPr>
        <w:t>2)</w:t>
      </w:r>
      <w:r w:rsidRPr="00C40A61">
        <w:rPr>
          <w:rFonts w:ascii="Times New Roman" w:hAnsi="Times New Roman" w:cs="Times New Roman"/>
          <w:sz w:val="24"/>
          <w:szCs w:val="24"/>
        </w:rPr>
        <w:t xml:space="preserve">. L'étude de </w:t>
      </w:r>
      <w:proofErr w:type="spellStart"/>
      <w:r w:rsidRPr="00C40A61">
        <w:rPr>
          <w:rFonts w:ascii="Times New Roman" w:hAnsi="Times New Roman" w:cs="Times New Roman"/>
          <w:sz w:val="24"/>
          <w:szCs w:val="24"/>
        </w:rPr>
        <w:t>Nabunya</w:t>
      </w:r>
      <w:proofErr w:type="spellEnd"/>
      <w:r w:rsidRPr="00C40A61">
        <w:rPr>
          <w:rFonts w:ascii="Times New Roman" w:hAnsi="Times New Roman" w:cs="Times New Roman"/>
          <w:sz w:val="24"/>
          <w:szCs w:val="24"/>
        </w:rPr>
        <w:t xml:space="preserve"> et en Ouganda a également rapporté une prévalence élevée des HED (50,00 %</w:t>
      </w:r>
      <w:r w:rsidR="0010479C">
        <w:rPr>
          <w:rFonts w:ascii="Times New Roman" w:hAnsi="Times New Roman" w:cs="Times New Roman"/>
          <w:sz w:val="24"/>
          <w:szCs w:val="24"/>
        </w:rPr>
        <w:t>), similaire à nos résultats (</w:t>
      </w:r>
      <w:r w:rsidR="00EE4CC1">
        <w:rPr>
          <w:rFonts w:ascii="Times New Roman" w:hAnsi="Times New Roman" w:cs="Times New Roman"/>
          <w:sz w:val="24"/>
          <w:szCs w:val="24"/>
        </w:rPr>
        <w:t>20</w:t>
      </w:r>
      <w:proofErr w:type="gramStart"/>
      <w:r w:rsidR="0010479C">
        <w:rPr>
          <w:rFonts w:ascii="Times New Roman" w:hAnsi="Times New Roman" w:cs="Times New Roman"/>
          <w:sz w:val="24"/>
          <w:szCs w:val="24"/>
        </w:rPr>
        <w:t>)</w:t>
      </w:r>
      <w:r w:rsidRPr="00C40A61">
        <w:rPr>
          <w:rFonts w:ascii="Times New Roman" w:hAnsi="Times New Roman" w:cs="Times New Roman"/>
          <w:sz w:val="24"/>
          <w:szCs w:val="24"/>
        </w:rPr>
        <w:t>.Nos</w:t>
      </w:r>
      <w:proofErr w:type="gramEnd"/>
      <w:r w:rsidRPr="00C40A61">
        <w:rPr>
          <w:rFonts w:ascii="Times New Roman" w:hAnsi="Times New Roman" w:cs="Times New Roman"/>
          <w:sz w:val="24"/>
          <w:szCs w:val="24"/>
        </w:rPr>
        <w:t xml:space="preserve"> données sont cohérentes </w:t>
      </w:r>
      <w:r w:rsidRPr="00C40A61">
        <w:rPr>
          <w:rFonts w:ascii="Times New Roman" w:hAnsi="Times New Roman" w:cs="Times New Roman"/>
          <w:sz w:val="24"/>
          <w:szCs w:val="24"/>
        </w:rPr>
        <w:lastRenderedPageBreak/>
        <w:t>avec cette tendance, soulignant que la nature et l'intensité des agressions influencent fortement le type d'hémorragie intracrânienne. Les HED sont communs dans les contextes de violence interpersonnelle en Afrique subsaharienne, où les coups à la tête avec de</w:t>
      </w:r>
      <w:r w:rsidR="0010479C">
        <w:rPr>
          <w:rFonts w:ascii="Times New Roman" w:hAnsi="Times New Roman" w:cs="Times New Roman"/>
          <w:sz w:val="24"/>
          <w:szCs w:val="24"/>
        </w:rPr>
        <w:t>s objets durs sont fréquents (19)</w:t>
      </w:r>
      <w:r w:rsidR="00EE4CC1">
        <w:rPr>
          <w:rFonts w:ascii="Times New Roman" w:hAnsi="Times New Roman" w:cs="Times New Roman"/>
          <w:sz w:val="24"/>
          <w:szCs w:val="24"/>
        </w:rPr>
        <w:t xml:space="preserve">. </w:t>
      </w:r>
      <w:r w:rsidRPr="00C40A61">
        <w:rPr>
          <w:rFonts w:ascii="Times New Roman" w:hAnsi="Times New Roman" w:cs="Times New Roman"/>
          <w:sz w:val="24"/>
          <w:szCs w:val="24"/>
        </w:rPr>
        <w:t xml:space="preserve">En revanche, l'étude de Sharma et al. </w:t>
      </w:r>
      <w:proofErr w:type="gramStart"/>
      <w:r w:rsidRPr="00C40A61">
        <w:rPr>
          <w:rFonts w:ascii="Times New Roman" w:hAnsi="Times New Roman" w:cs="Times New Roman"/>
          <w:sz w:val="24"/>
          <w:szCs w:val="24"/>
        </w:rPr>
        <w:t>en</w:t>
      </w:r>
      <w:proofErr w:type="gramEnd"/>
      <w:r w:rsidRPr="00C40A61">
        <w:rPr>
          <w:rFonts w:ascii="Times New Roman" w:hAnsi="Times New Roman" w:cs="Times New Roman"/>
          <w:sz w:val="24"/>
          <w:szCs w:val="24"/>
        </w:rPr>
        <w:t xml:space="preserve"> Inde a montré une distribution légèrement différente, avec une plus grande prévalence d'hémorragies intracérébrales (HIP) (25,00 %) </w:t>
      </w:r>
      <w:r w:rsidR="0010479C">
        <w:rPr>
          <w:rFonts w:ascii="Times New Roman" w:hAnsi="Times New Roman" w:cs="Times New Roman"/>
          <w:sz w:val="24"/>
          <w:szCs w:val="24"/>
        </w:rPr>
        <w:t xml:space="preserve">par rapport </w:t>
      </w:r>
      <w:r w:rsidR="0010479C">
        <w:rPr>
          <w:rFonts w:ascii="Times New Roman" w:hAnsi="Times New Roman" w:cs="Times New Roman"/>
          <w:sz w:val="24"/>
          <w:szCs w:val="24"/>
        </w:rPr>
        <w:lastRenderedPageBreak/>
        <w:t>aux HED (30,00 %) (</w:t>
      </w:r>
      <w:r w:rsidR="00EE4CC1">
        <w:rPr>
          <w:rFonts w:ascii="Times New Roman" w:hAnsi="Times New Roman" w:cs="Times New Roman"/>
          <w:sz w:val="24"/>
          <w:szCs w:val="24"/>
        </w:rPr>
        <w:t>8</w:t>
      </w:r>
      <w:r w:rsidR="0010479C">
        <w:rPr>
          <w:rFonts w:ascii="Times New Roman" w:hAnsi="Times New Roman" w:cs="Times New Roman"/>
          <w:sz w:val="24"/>
          <w:szCs w:val="24"/>
        </w:rPr>
        <w:t>)</w:t>
      </w:r>
      <w:r w:rsidRPr="00C40A61">
        <w:rPr>
          <w:rFonts w:ascii="Times New Roman" w:hAnsi="Times New Roman" w:cs="Times New Roman"/>
          <w:sz w:val="24"/>
          <w:szCs w:val="24"/>
        </w:rPr>
        <w:t xml:space="preserve">. Les résultats de Silva et al. </w:t>
      </w:r>
      <w:proofErr w:type="gramStart"/>
      <w:r w:rsidRPr="00C40A61">
        <w:rPr>
          <w:rFonts w:ascii="Times New Roman" w:hAnsi="Times New Roman" w:cs="Times New Roman"/>
          <w:sz w:val="24"/>
          <w:szCs w:val="24"/>
        </w:rPr>
        <w:t>au</w:t>
      </w:r>
      <w:proofErr w:type="gramEnd"/>
      <w:r w:rsidRPr="00C40A61">
        <w:rPr>
          <w:rFonts w:ascii="Times New Roman" w:hAnsi="Times New Roman" w:cs="Times New Roman"/>
          <w:sz w:val="24"/>
          <w:szCs w:val="24"/>
        </w:rPr>
        <w:t xml:space="preserve"> Brésil ont révélé une prédominance des hématomes sous duraux aigus (HSDA) à 35,00</w:t>
      </w:r>
      <w:r w:rsidR="0010479C">
        <w:rPr>
          <w:rFonts w:ascii="Times New Roman" w:hAnsi="Times New Roman" w:cs="Times New Roman"/>
          <w:sz w:val="24"/>
          <w:szCs w:val="24"/>
        </w:rPr>
        <w:t xml:space="preserve"> %, suivis des HED à 30,34 % (9)</w:t>
      </w:r>
      <w:r w:rsidR="00EE4CC1">
        <w:rPr>
          <w:rFonts w:ascii="Times New Roman" w:hAnsi="Times New Roman" w:cs="Times New Roman"/>
          <w:sz w:val="24"/>
          <w:szCs w:val="24"/>
        </w:rPr>
        <w:t xml:space="preserve">. </w:t>
      </w:r>
      <w:r w:rsidRPr="00C40A61">
        <w:rPr>
          <w:rFonts w:ascii="Times New Roman" w:hAnsi="Times New Roman" w:cs="Times New Roman"/>
          <w:sz w:val="24"/>
          <w:szCs w:val="24"/>
        </w:rPr>
        <w:t>Cette différence dans la répartition des types d'hémorragies pourrait être attribuée à des variations dans les modes d'agression, les types d'armes utilisées, les caractéristiques des victimes et les facteurs culturels qui influencent le type de traumatisme crânien.</w:t>
      </w:r>
    </w:p>
    <w:p w14:paraId="64FD9712" w14:textId="77777777" w:rsidR="00F16747" w:rsidRDefault="00F16747" w:rsidP="00BA1192">
      <w:pPr>
        <w:spacing w:line="240" w:lineRule="auto"/>
        <w:ind w:firstLine="360"/>
        <w:jc w:val="both"/>
        <w:rPr>
          <w:rFonts w:ascii="Times New Roman" w:hAnsi="Times New Roman" w:cs="Times New Roman"/>
          <w:sz w:val="24"/>
          <w:szCs w:val="24"/>
        </w:rPr>
        <w:sectPr w:rsidR="00F16747" w:rsidSect="00F16747">
          <w:type w:val="continuous"/>
          <w:pgSz w:w="11906" w:h="16838"/>
          <w:pgMar w:top="1417" w:right="1417" w:bottom="1417" w:left="1417" w:header="708" w:footer="708" w:gutter="0"/>
          <w:cols w:num="2" w:space="708"/>
          <w:docGrid w:linePitch="360"/>
        </w:sectPr>
      </w:pPr>
    </w:p>
    <w:p w14:paraId="45CBBF9F" w14:textId="46131446" w:rsidR="00E626CF" w:rsidRPr="00C40A61" w:rsidRDefault="00E626CF" w:rsidP="00BA1192">
      <w:pPr>
        <w:spacing w:line="240" w:lineRule="auto"/>
        <w:ind w:firstLine="360"/>
        <w:jc w:val="both"/>
        <w:rPr>
          <w:rFonts w:ascii="Times New Roman" w:hAnsi="Times New Roman" w:cs="Times New Roman"/>
          <w:sz w:val="24"/>
          <w:szCs w:val="24"/>
        </w:rPr>
      </w:pPr>
    </w:p>
    <w:p w14:paraId="34830FDA" w14:textId="77777777" w:rsidR="004B7BE8" w:rsidRPr="000B28C5" w:rsidRDefault="00FB42A3" w:rsidP="00BA1192">
      <w:pPr>
        <w:spacing w:line="240" w:lineRule="auto"/>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fr-FR"/>
        </w:rPr>
        <w:pict w14:anchorId="623A5802">
          <v:shape id="_x0000_s1032" type="#_x0000_t32" style="position:absolute;left:0;text-align:left;margin-left:85.9pt;margin-top:6.4pt;width:363.75pt;height:1.5pt;flip:y;z-index:251663360" o:connectortype="straight" strokecolor="#002060" strokeweight="1pt"/>
        </w:pict>
      </w:r>
      <w:r w:rsidR="004B7BE8" w:rsidRPr="000B28C5">
        <w:rPr>
          <w:rFonts w:ascii="Times New Roman" w:hAnsi="Times New Roman" w:cs="Times New Roman"/>
          <w:b/>
          <w:color w:val="002060"/>
          <w:sz w:val="24"/>
          <w:szCs w:val="24"/>
        </w:rPr>
        <w:t>CONCLUSION</w:t>
      </w:r>
      <w:bookmarkStart w:id="0" w:name="_GoBack"/>
      <w:bookmarkEnd w:id="0"/>
    </w:p>
    <w:p w14:paraId="2303F6EA" w14:textId="77777777" w:rsidR="006A0648" w:rsidRDefault="00EE4CC1" w:rsidP="00BA119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Les traumatismes </w:t>
      </w:r>
      <w:proofErr w:type="spellStart"/>
      <w:r>
        <w:rPr>
          <w:rFonts w:ascii="Times New Roman" w:hAnsi="Times New Roman" w:cs="Times New Roman"/>
          <w:sz w:val="24"/>
          <w:szCs w:val="24"/>
        </w:rPr>
        <w:t>crânio</w:t>
      </w:r>
      <w:proofErr w:type="spellEnd"/>
      <w:r>
        <w:rPr>
          <w:rFonts w:ascii="Times New Roman" w:hAnsi="Times New Roman" w:cs="Times New Roman"/>
          <w:sz w:val="24"/>
          <w:szCs w:val="24"/>
        </w:rPr>
        <w:t>-encéphaliques représentent</w:t>
      </w:r>
      <w:r w:rsidR="00C40A61" w:rsidRPr="00C40A61">
        <w:rPr>
          <w:rFonts w:ascii="Times New Roman" w:hAnsi="Times New Roman" w:cs="Times New Roman"/>
          <w:sz w:val="24"/>
          <w:szCs w:val="24"/>
        </w:rPr>
        <w:t xml:space="preserve"> un pr</w:t>
      </w:r>
      <w:r>
        <w:rPr>
          <w:rFonts w:ascii="Times New Roman" w:hAnsi="Times New Roman" w:cs="Times New Roman"/>
          <w:sz w:val="24"/>
          <w:szCs w:val="24"/>
        </w:rPr>
        <w:t xml:space="preserve">oblème de santé publique majeur </w:t>
      </w:r>
      <w:r w:rsidR="00C40A61" w:rsidRPr="00C40A61">
        <w:rPr>
          <w:rFonts w:ascii="Times New Roman" w:hAnsi="Times New Roman" w:cs="Times New Roman"/>
          <w:sz w:val="24"/>
          <w:szCs w:val="24"/>
        </w:rPr>
        <w:t>dans le monde en termes de mortalité, de morbidité et de répercussions économiq</w:t>
      </w:r>
      <w:r>
        <w:rPr>
          <w:rFonts w:ascii="Times New Roman" w:hAnsi="Times New Roman" w:cs="Times New Roman"/>
          <w:sz w:val="24"/>
          <w:szCs w:val="24"/>
        </w:rPr>
        <w:t>ues. Les agressions occupent</w:t>
      </w:r>
      <w:r w:rsidR="00C40A61" w:rsidRPr="00C40A61">
        <w:rPr>
          <w:rFonts w:ascii="Times New Roman" w:hAnsi="Times New Roman" w:cs="Times New Roman"/>
          <w:sz w:val="24"/>
          <w:szCs w:val="24"/>
        </w:rPr>
        <w:t xml:space="preserve"> une part importante </w:t>
      </w:r>
      <w:r>
        <w:rPr>
          <w:rFonts w:ascii="Times New Roman" w:hAnsi="Times New Roman" w:cs="Times New Roman"/>
          <w:sz w:val="24"/>
          <w:szCs w:val="24"/>
        </w:rPr>
        <w:t>dans l</w:t>
      </w:r>
      <w:r w:rsidR="00C40A61" w:rsidRPr="00C40A61">
        <w:rPr>
          <w:rFonts w:ascii="Times New Roman" w:hAnsi="Times New Roman" w:cs="Times New Roman"/>
          <w:sz w:val="24"/>
          <w:szCs w:val="24"/>
        </w:rPr>
        <w:t>es mécanismes de survenue des TCE.</w:t>
      </w:r>
      <w:r w:rsidR="00C97E1F">
        <w:rPr>
          <w:rFonts w:ascii="Times New Roman" w:hAnsi="Times New Roman" w:cs="Times New Roman"/>
          <w:sz w:val="24"/>
          <w:szCs w:val="24"/>
        </w:rPr>
        <w:t xml:space="preserve"> </w:t>
      </w:r>
      <w:r>
        <w:rPr>
          <w:rFonts w:ascii="Times New Roman" w:hAnsi="Times New Roman" w:cs="Times New Roman"/>
          <w:sz w:val="24"/>
          <w:szCs w:val="24"/>
        </w:rPr>
        <w:t xml:space="preserve">Ces observations mettent </w:t>
      </w:r>
      <w:r w:rsidR="00436CA6" w:rsidRPr="00436CA6">
        <w:rPr>
          <w:rFonts w:ascii="Times New Roman" w:hAnsi="Times New Roman" w:cs="Times New Roman"/>
          <w:sz w:val="24"/>
          <w:szCs w:val="24"/>
        </w:rPr>
        <w:t>en lumière les enjeux liés aux traumatismes c</w:t>
      </w:r>
      <w:r>
        <w:rPr>
          <w:rFonts w:ascii="Times New Roman" w:hAnsi="Times New Roman" w:cs="Times New Roman"/>
          <w:sz w:val="24"/>
          <w:szCs w:val="24"/>
        </w:rPr>
        <w:t>râniens par agression</w:t>
      </w:r>
      <w:r w:rsidR="00436CA6" w:rsidRPr="00436CA6">
        <w:rPr>
          <w:rFonts w:ascii="Times New Roman" w:hAnsi="Times New Roman" w:cs="Times New Roman"/>
          <w:sz w:val="24"/>
          <w:szCs w:val="24"/>
        </w:rPr>
        <w:t xml:space="preserve"> à Antsiranana et offre une base solide pour orienter les politiques publiques en matière de prévention des violences et d’amélioration de la prise en charge des TCE.</w:t>
      </w:r>
      <w:r w:rsidR="00C97E1F">
        <w:rPr>
          <w:rFonts w:ascii="Times New Roman" w:hAnsi="Times New Roman" w:cs="Times New Roman"/>
          <w:sz w:val="24"/>
          <w:szCs w:val="24"/>
        </w:rPr>
        <w:t xml:space="preserve"> </w:t>
      </w:r>
      <w:r w:rsidR="00436CA6" w:rsidRPr="00436CA6">
        <w:rPr>
          <w:rFonts w:ascii="Times New Roman" w:hAnsi="Times New Roman" w:cs="Times New Roman"/>
          <w:sz w:val="24"/>
          <w:szCs w:val="24"/>
        </w:rPr>
        <w:t>Pour mieux cerner la situation des TCE par agression à Antsiranana, des études</w:t>
      </w:r>
      <w:r>
        <w:rPr>
          <w:rFonts w:ascii="Times New Roman" w:hAnsi="Times New Roman" w:cs="Times New Roman"/>
          <w:sz w:val="24"/>
          <w:szCs w:val="24"/>
        </w:rPr>
        <w:t xml:space="preserve"> multicentriques, prospectives </w:t>
      </w:r>
      <w:r w:rsidR="00436CA6" w:rsidRPr="00436CA6">
        <w:rPr>
          <w:rFonts w:ascii="Times New Roman" w:hAnsi="Times New Roman" w:cs="Times New Roman"/>
          <w:sz w:val="24"/>
          <w:szCs w:val="24"/>
        </w:rPr>
        <w:t>et analytiques incluant une plus grande taille d’échantillon sont souhaitables.</w:t>
      </w:r>
    </w:p>
    <w:p w14:paraId="6A2424E1" w14:textId="77777777" w:rsidR="00E626CF" w:rsidRPr="00E6265B" w:rsidRDefault="00E626CF" w:rsidP="00BA1192">
      <w:pPr>
        <w:spacing w:line="240" w:lineRule="auto"/>
        <w:ind w:firstLine="708"/>
        <w:jc w:val="both"/>
        <w:rPr>
          <w:rFonts w:ascii="Times New Roman" w:hAnsi="Times New Roman" w:cs="Times New Roman"/>
          <w:sz w:val="24"/>
          <w:szCs w:val="24"/>
        </w:rPr>
      </w:pPr>
    </w:p>
    <w:p w14:paraId="07A7BC96" w14:textId="77777777" w:rsidR="000B28C5" w:rsidRDefault="000B28C5" w:rsidP="00BA1192">
      <w:pPr>
        <w:spacing w:line="240" w:lineRule="auto"/>
        <w:jc w:val="both"/>
        <w:rPr>
          <w:rFonts w:ascii="Times New Roman" w:hAnsi="Times New Roman" w:cs="Times New Roman"/>
          <w:b/>
          <w:color w:val="002060"/>
          <w:sz w:val="24"/>
          <w:szCs w:val="24"/>
          <w:lang w:val="en-US"/>
        </w:rPr>
      </w:pPr>
    </w:p>
    <w:p w14:paraId="48FA68BC" w14:textId="77777777" w:rsidR="006A0648" w:rsidRPr="000B28C5" w:rsidRDefault="00FB42A3" w:rsidP="00BA1192">
      <w:pPr>
        <w:spacing w:line="240" w:lineRule="auto"/>
        <w:jc w:val="both"/>
        <w:rPr>
          <w:rFonts w:ascii="Times New Roman" w:hAnsi="Times New Roman" w:cs="Times New Roman"/>
          <w:b/>
          <w:color w:val="002060"/>
          <w:sz w:val="24"/>
          <w:szCs w:val="24"/>
          <w:lang w:val="en-US"/>
        </w:rPr>
      </w:pPr>
      <w:r>
        <w:rPr>
          <w:rFonts w:ascii="Times New Roman" w:hAnsi="Times New Roman" w:cs="Times New Roman"/>
          <w:b/>
          <w:noProof/>
          <w:color w:val="002060"/>
          <w:sz w:val="24"/>
          <w:szCs w:val="24"/>
          <w:lang w:eastAsia="fr-FR"/>
        </w:rPr>
        <w:pict w14:anchorId="734F2E73">
          <v:shape id="_x0000_s1033" type="#_x0000_t32" style="position:absolute;left:0;text-align:left;margin-left:214.9pt;margin-top:6.7pt;width:234.75pt;height:0;z-index:251664384" o:connectortype="straight" strokecolor="#002060" strokeweight="1pt"/>
        </w:pict>
      </w:r>
      <w:r w:rsidR="006A0648" w:rsidRPr="000B28C5">
        <w:rPr>
          <w:rFonts w:ascii="Times New Roman" w:hAnsi="Times New Roman" w:cs="Times New Roman"/>
          <w:b/>
          <w:color w:val="002060"/>
          <w:sz w:val="24"/>
          <w:szCs w:val="24"/>
          <w:lang w:val="en-US"/>
        </w:rPr>
        <w:t xml:space="preserve">REFERENCES BIBLIOGRAPHIQUES </w:t>
      </w:r>
    </w:p>
    <w:p w14:paraId="4990CE83" w14:textId="77777777" w:rsidR="00AF4343" w:rsidRPr="00E5290F" w:rsidRDefault="00242F4A" w:rsidP="00BA1192">
      <w:pPr>
        <w:pStyle w:val="Paragraphedeliste"/>
        <w:numPr>
          <w:ilvl w:val="0"/>
          <w:numId w:val="4"/>
        </w:numPr>
        <w:tabs>
          <w:tab w:val="left" w:pos="504"/>
        </w:tabs>
        <w:spacing w:after="240"/>
        <w:jc w:val="both"/>
        <w:rPr>
          <w:lang w:val="en-US"/>
        </w:rPr>
      </w:pPr>
      <w:r w:rsidRPr="00AF4343">
        <w:rPr>
          <w:lang w:val="en-US"/>
        </w:rPr>
        <w:t xml:space="preserve">Bahloul M, </w:t>
      </w:r>
      <w:proofErr w:type="spellStart"/>
      <w:r w:rsidRPr="00AF4343">
        <w:rPr>
          <w:lang w:val="en-US"/>
        </w:rPr>
        <w:t>Chelly</w:t>
      </w:r>
      <w:proofErr w:type="spellEnd"/>
      <w:r w:rsidRPr="00AF4343">
        <w:rPr>
          <w:lang w:val="en-US"/>
        </w:rPr>
        <w:t xml:space="preserve"> H, </w:t>
      </w:r>
      <w:proofErr w:type="spellStart"/>
      <w:r w:rsidRPr="00AF4343">
        <w:rPr>
          <w:lang w:val="en-US"/>
        </w:rPr>
        <w:t>Hmida</w:t>
      </w:r>
      <w:proofErr w:type="spellEnd"/>
      <w:r w:rsidRPr="00AF4343">
        <w:rPr>
          <w:lang w:val="en-US"/>
        </w:rPr>
        <w:t xml:space="preserve"> MB, </w:t>
      </w:r>
      <w:proofErr w:type="spellStart"/>
      <w:r w:rsidRPr="00AF4343">
        <w:rPr>
          <w:lang w:val="en-US"/>
        </w:rPr>
        <w:t>Hamida</w:t>
      </w:r>
      <w:proofErr w:type="spellEnd"/>
      <w:r w:rsidRPr="00AF4343">
        <w:rPr>
          <w:lang w:val="en-US"/>
        </w:rPr>
        <w:t xml:space="preserve"> CB, </w:t>
      </w:r>
      <w:proofErr w:type="spellStart"/>
      <w:r w:rsidRPr="00AF4343">
        <w:rPr>
          <w:lang w:val="en-US"/>
        </w:rPr>
        <w:t>Ksibi</w:t>
      </w:r>
      <w:proofErr w:type="spellEnd"/>
      <w:r w:rsidRPr="00AF4343">
        <w:rPr>
          <w:lang w:val="en-US"/>
        </w:rPr>
        <w:t xml:space="preserve"> H, </w:t>
      </w:r>
      <w:proofErr w:type="spellStart"/>
      <w:r w:rsidRPr="00AF4343">
        <w:rPr>
          <w:lang w:val="en-US"/>
        </w:rPr>
        <w:t>Kallel</w:t>
      </w:r>
      <w:proofErr w:type="spellEnd"/>
      <w:r w:rsidRPr="00AF4343">
        <w:rPr>
          <w:lang w:val="en-US"/>
        </w:rPr>
        <w:t xml:space="preserve"> H et al. Prognosis of traumatic head injury in south Tunisia: A multivariate analysis of 437 cases. </w:t>
      </w:r>
      <w:r w:rsidRPr="00E5290F">
        <w:rPr>
          <w:lang w:val="en-US"/>
        </w:rPr>
        <w:t xml:space="preserve">J Trauma, </w:t>
      </w:r>
      <w:proofErr w:type="gramStart"/>
      <w:r w:rsidRPr="00E5290F">
        <w:rPr>
          <w:lang w:val="en-US"/>
        </w:rPr>
        <w:t>2004 ;</w:t>
      </w:r>
      <w:proofErr w:type="gramEnd"/>
      <w:r w:rsidRPr="00E5290F">
        <w:rPr>
          <w:lang w:val="en-US"/>
        </w:rPr>
        <w:t xml:space="preserve"> 57 : 255-61.</w:t>
      </w:r>
    </w:p>
    <w:p w14:paraId="534F45BD" w14:textId="77777777" w:rsidR="00AF4343" w:rsidRPr="00AF4343" w:rsidRDefault="00242F4A" w:rsidP="00BA1192">
      <w:pPr>
        <w:pStyle w:val="Paragraphedeliste"/>
        <w:numPr>
          <w:ilvl w:val="0"/>
          <w:numId w:val="4"/>
        </w:numPr>
        <w:tabs>
          <w:tab w:val="left" w:pos="504"/>
        </w:tabs>
        <w:spacing w:after="240"/>
        <w:jc w:val="both"/>
      </w:pPr>
      <w:r w:rsidRPr="00AF4343">
        <w:t xml:space="preserve">Loiseeau H. Traumatismes et traumatisés </w:t>
      </w:r>
      <w:proofErr w:type="spellStart"/>
      <w:r w:rsidRPr="00AF4343">
        <w:t>craniens</w:t>
      </w:r>
      <w:proofErr w:type="spellEnd"/>
      <w:r w:rsidRPr="00AF4343">
        <w:t xml:space="preserve">. </w:t>
      </w:r>
      <w:r w:rsidR="00AF4343" w:rsidRPr="00AF4343">
        <w:rPr>
          <w:lang w:val="en-US"/>
        </w:rPr>
        <w:t>Rev Neurol .2006</w:t>
      </w:r>
      <w:r w:rsidRPr="00AF4343">
        <w:rPr>
          <w:lang w:val="en-US"/>
        </w:rPr>
        <w:t xml:space="preserve">; </w:t>
      </w:r>
      <w:proofErr w:type="gramStart"/>
      <w:r w:rsidRPr="00AF4343">
        <w:rPr>
          <w:lang w:val="en-US"/>
        </w:rPr>
        <w:t>10 :</w:t>
      </w:r>
      <w:proofErr w:type="gramEnd"/>
      <w:r w:rsidRPr="00AF4343">
        <w:rPr>
          <w:lang w:val="en-US"/>
        </w:rPr>
        <w:t xml:space="preserve"> 650-970.</w:t>
      </w:r>
    </w:p>
    <w:p w14:paraId="23334ECF" w14:textId="77777777" w:rsidR="00AF4343" w:rsidRPr="00AF4343" w:rsidRDefault="00242F4A" w:rsidP="00BA1192">
      <w:pPr>
        <w:pStyle w:val="Paragraphedeliste"/>
        <w:numPr>
          <w:ilvl w:val="0"/>
          <w:numId w:val="4"/>
        </w:numPr>
        <w:tabs>
          <w:tab w:val="left" w:pos="504"/>
        </w:tabs>
        <w:spacing w:after="240"/>
        <w:jc w:val="both"/>
      </w:pPr>
      <w:proofErr w:type="spellStart"/>
      <w:r w:rsidRPr="00AF4343">
        <w:t>Capizzi</w:t>
      </w:r>
      <w:proofErr w:type="spellEnd"/>
      <w:r w:rsidR="00AF4343">
        <w:t xml:space="preserve"> A, </w:t>
      </w:r>
      <w:proofErr w:type="spellStart"/>
      <w:r w:rsidR="00AF4343">
        <w:t>Woo</w:t>
      </w:r>
      <w:proofErr w:type="spellEnd"/>
      <w:r w:rsidR="00AF4343">
        <w:t xml:space="preserve"> J et </w:t>
      </w:r>
      <w:proofErr w:type="spellStart"/>
      <w:r w:rsidR="00AF4343">
        <w:t>Verduzco</w:t>
      </w:r>
      <w:proofErr w:type="spellEnd"/>
      <w:r w:rsidR="00AF4343">
        <w:t>-Gutierrez.</w:t>
      </w:r>
    </w:p>
    <w:p w14:paraId="02632B4D" w14:textId="77777777" w:rsidR="00AF4343" w:rsidRDefault="00242F4A" w:rsidP="00BA1192">
      <w:pPr>
        <w:pStyle w:val="Paragraphedeliste"/>
        <w:numPr>
          <w:ilvl w:val="0"/>
          <w:numId w:val="4"/>
        </w:numPr>
        <w:tabs>
          <w:tab w:val="left" w:pos="504"/>
        </w:tabs>
        <w:spacing w:after="240"/>
        <w:jc w:val="both"/>
      </w:pPr>
      <w:proofErr w:type="spellStart"/>
      <w:r w:rsidRPr="00AF4343">
        <w:t>Tazarourte</w:t>
      </w:r>
      <w:proofErr w:type="spellEnd"/>
      <w:r w:rsidRPr="00AF4343">
        <w:t xml:space="preserve"> K, </w:t>
      </w:r>
      <w:proofErr w:type="spellStart"/>
      <w:r w:rsidRPr="00AF4343">
        <w:t>Bensalah</w:t>
      </w:r>
      <w:proofErr w:type="spellEnd"/>
      <w:r w:rsidRPr="00AF4343">
        <w:t xml:space="preserve"> N, </w:t>
      </w:r>
      <w:proofErr w:type="spellStart"/>
      <w:r w:rsidRPr="00AF4343">
        <w:t>Rebillard</w:t>
      </w:r>
      <w:proofErr w:type="spellEnd"/>
      <w:r w:rsidRPr="00AF4343">
        <w:t xml:space="preserve"> L, et al. Epidémiologie des traumatismes crâniens. In : MAPAR, </w:t>
      </w:r>
      <w:proofErr w:type="spellStart"/>
      <w:r w:rsidRPr="00AF4343">
        <w:t>ed</w:t>
      </w:r>
      <w:proofErr w:type="spellEnd"/>
      <w:r w:rsidRPr="00AF4343">
        <w:t xml:space="preserve">. Communications scientifiques </w:t>
      </w:r>
      <w:proofErr w:type="spellStart"/>
      <w:r w:rsidRPr="00AF4343">
        <w:t>Mapar</w:t>
      </w:r>
      <w:proofErr w:type="spellEnd"/>
      <w:r w:rsidRPr="00AF4343">
        <w:t>. 26ème journée internationale de mise au point en anesthésie</w:t>
      </w:r>
      <w:r w:rsidR="00AF4343">
        <w:t xml:space="preserve">-réanimation. Paris, MAPAR </w:t>
      </w:r>
      <w:proofErr w:type="gramStart"/>
      <w:r w:rsidR="00AF4343">
        <w:t>2008</w:t>
      </w:r>
      <w:r w:rsidRPr="00AF4343">
        <w:t>;</w:t>
      </w:r>
      <w:proofErr w:type="gramEnd"/>
      <w:r w:rsidRPr="00AF4343">
        <w:t>142.</w:t>
      </w:r>
    </w:p>
    <w:p w14:paraId="3180E31E" w14:textId="77777777" w:rsidR="00AF4343" w:rsidRDefault="00242F4A" w:rsidP="00BA1192">
      <w:pPr>
        <w:pStyle w:val="Paragraphedeliste"/>
        <w:numPr>
          <w:ilvl w:val="0"/>
          <w:numId w:val="4"/>
        </w:numPr>
        <w:tabs>
          <w:tab w:val="left" w:pos="504"/>
        </w:tabs>
        <w:spacing w:after="240"/>
        <w:jc w:val="both"/>
      </w:pPr>
      <w:r w:rsidRPr="00AF4343">
        <w:rPr>
          <w:lang w:val="en-US"/>
        </w:rPr>
        <w:t xml:space="preserve">Currul-Dykeman K. Assault and Battery. </w:t>
      </w:r>
      <w:proofErr w:type="gramStart"/>
      <w:r w:rsidRPr="00AF4343">
        <w:rPr>
          <w:lang w:val="en-US"/>
        </w:rPr>
        <w:t>In :</w:t>
      </w:r>
      <w:proofErr w:type="gramEnd"/>
      <w:r w:rsidRPr="00AF4343">
        <w:rPr>
          <w:lang w:val="en-US"/>
        </w:rPr>
        <w:t xml:space="preserve"> The Encyclopedia of Criminology and Criminal Justice. </w:t>
      </w:r>
      <w:r w:rsidRPr="00AF4343">
        <w:t xml:space="preserve">John </w:t>
      </w:r>
      <w:proofErr w:type="spellStart"/>
      <w:r w:rsidRPr="00AF4343">
        <w:t>Wiley</w:t>
      </w:r>
      <w:proofErr w:type="spellEnd"/>
      <w:r w:rsidRPr="00AF4343">
        <w:t>&amp; Sons, Ltd [En ligne]</w:t>
      </w:r>
      <w:r w:rsidR="00AF4343">
        <w:t>. 2014 [Consulté le 15/06/2024</w:t>
      </w:r>
      <w:proofErr w:type="gramStart"/>
      <w:r w:rsidR="00AF4343">
        <w:t>]</w:t>
      </w:r>
      <w:r w:rsidRPr="00AF4343">
        <w:t>;</w:t>
      </w:r>
      <w:proofErr w:type="gramEnd"/>
      <w:r w:rsidRPr="00AF4343">
        <w:t xml:space="preserve">1(1) : [340 pages]. Consultable à l’URL https://onlinelibrary.wiley.com/doi/abs/10.1002/9781118517383.wbeccj545 </w:t>
      </w:r>
    </w:p>
    <w:p w14:paraId="3895CDF1" w14:textId="77777777" w:rsidR="00AF4343" w:rsidRDefault="00242F4A" w:rsidP="00BA1192">
      <w:pPr>
        <w:pStyle w:val="Paragraphedeliste"/>
        <w:numPr>
          <w:ilvl w:val="0"/>
          <w:numId w:val="4"/>
        </w:numPr>
        <w:tabs>
          <w:tab w:val="left" w:pos="504"/>
        </w:tabs>
        <w:spacing w:after="240"/>
        <w:jc w:val="both"/>
      </w:pPr>
      <w:r w:rsidRPr="00AF4343">
        <w:t xml:space="preserve">Wagner A, Sasser H, Hammond F, </w:t>
      </w:r>
      <w:proofErr w:type="spellStart"/>
      <w:r w:rsidRPr="00AF4343">
        <w:t>Wiercisiewski</w:t>
      </w:r>
      <w:proofErr w:type="spellEnd"/>
      <w:r w:rsidRPr="00AF4343">
        <w:t xml:space="preserve"> D, Alexander J. Traumatisme crânien intentionnel : épidémiologie, facteurs de risque et associations avec la gravité et la mortalité des blessures. J Traumatisme Infect Crit Care. 2000 ; 49(3) :404-10.</w:t>
      </w:r>
    </w:p>
    <w:p w14:paraId="660A7170" w14:textId="77777777" w:rsidR="00AF4343" w:rsidRDefault="00242F4A" w:rsidP="00BA1192">
      <w:pPr>
        <w:pStyle w:val="Paragraphedeliste"/>
        <w:numPr>
          <w:ilvl w:val="0"/>
          <w:numId w:val="4"/>
        </w:numPr>
        <w:tabs>
          <w:tab w:val="left" w:pos="504"/>
        </w:tabs>
        <w:spacing w:after="240"/>
        <w:jc w:val="both"/>
      </w:pPr>
      <w:proofErr w:type="spellStart"/>
      <w:r w:rsidRPr="00AF4343">
        <w:t>Tsaranjara</w:t>
      </w:r>
      <w:proofErr w:type="spellEnd"/>
      <w:r w:rsidRPr="00AF4343">
        <w:t xml:space="preserve"> J. Etude </w:t>
      </w:r>
      <w:proofErr w:type="spellStart"/>
      <w:r w:rsidRPr="00AF4343">
        <w:t>épidemiologiqu</w:t>
      </w:r>
      <w:r w:rsidR="00AF4343">
        <w:t>e</w:t>
      </w:r>
      <w:proofErr w:type="spellEnd"/>
      <w:r w:rsidR="00AF4343">
        <w:t xml:space="preserve"> des traumatismes crâniens au Centre Hospitalier Universitaire </w:t>
      </w:r>
      <w:proofErr w:type="spellStart"/>
      <w:r w:rsidR="00AF4343">
        <w:t>T</w:t>
      </w:r>
      <w:r w:rsidRPr="00AF4343">
        <w:t>anambao</w:t>
      </w:r>
      <w:proofErr w:type="spellEnd"/>
      <w:r w:rsidRPr="00AF4343">
        <w:t xml:space="preserve"> I</w:t>
      </w:r>
      <w:r w:rsidR="00AF4343">
        <w:t xml:space="preserve"> Antsiranana</w:t>
      </w:r>
      <w:r w:rsidRPr="00AF4343">
        <w:t>. [Thèse]. Médecine Humaine. Antsiranana ; 2022 : 77p.</w:t>
      </w:r>
    </w:p>
    <w:p w14:paraId="39AEBC31" w14:textId="77777777" w:rsidR="00AF4343" w:rsidRPr="00E5290F" w:rsidRDefault="00242F4A" w:rsidP="00BA1192">
      <w:pPr>
        <w:pStyle w:val="Paragraphedeliste"/>
        <w:numPr>
          <w:ilvl w:val="0"/>
          <w:numId w:val="4"/>
        </w:numPr>
        <w:tabs>
          <w:tab w:val="left" w:pos="504"/>
        </w:tabs>
        <w:spacing w:after="240"/>
        <w:jc w:val="both"/>
        <w:rPr>
          <w:lang w:val="en-US"/>
        </w:rPr>
      </w:pPr>
      <w:r w:rsidRPr="00AF4343">
        <w:rPr>
          <w:lang w:val="en-US"/>
        </w:rPr>
        <w:t xml:space="preserve">Sharma D, et al. Use of Imaging in the Management of Traumatic Brain Injuries in India. </w:t>
      </w:r>
      <w:r w:rsidRPr="00E5290F">
        <w:rPr>
          <w:lang w:val="en-US"/>
        </w:rPr>
        <w:t>Neurol India. 2021;69(5):566-72.</w:t>
      </w:r>
    </w:p>
    <w:p w14:paraId="7F7669DB" w14:textId="77777777" w:rsidR="00AF4343" w:rsidRDefault="00242F4A" w:rsidP="00BA1192">
      <w:pPr>
        <w:pStyle w:val="Paragraphedeliste"/>
        <w:numPr>
          <w:ilvl w:val="0"/>
          <w:numId w:val="4"/>
        </w:numPr>
        <w:tabs>
          <w:tab w:val="left" w:pos="504"/>
        </w:tabs>
        <w:spacing w:after="240"/>
        <w:jc w:val="both"/>
      </w:pPr>
      <w:r w:rsidRPr="00AF4343">
        <w:rPr>
          <w:lang w:val="en-US"/>
        </w:rPr>
        <w:t xml:space="preserve">Silva MT, et al. Profile of Patients with Traumatic Brain Injuries in a Brazilian Urban Center. </w:t>
      </w:r>
      <w:r w:rsidR="00AF4343" w:rsidRPr="00E5290F">
        <w:rPr>
          <w:lang w:val="en-US"/>
        </w:rPr>
        <w:t xml:space="preserve">Rev Bras Neurol. </w:t>
      </w:r>
      <w:r w:rsidR="00AF4343">
        <w:t>2019</w:t>
      </w:r>
      <w:r w:rsidRPr="00AF4343">
        <w:t>;</w:t>
      </w:r>
      <w:r w:rsidR="00AF4343">
        <w:t xml:space="preserve"> 35(4)</w:t>
      </w:r>
      <w:r w:rsidRPr="00AF4343">
        <w:t>:210-15.</w:t>
      </w:r>
    </w:p>
    <w:p w14:paraId="7CC7F063" w14:textId="77777777" w:rsidR="00AF4343" w:rsidRDefault="005F796A" w:rsidP="00BA1192">
      <w:pPr>
        <w:pStyle w:val="Paragraphedeliste"/>
        <w:numPr>
          <w:ilvl w:val="0"/>
          <w:numId w:val="4"/>
        </w:numPr>
        <w:tabs>
          <w:tab w:val="left" w:pos="504"/>
        </w:tabs>
        <w:spacing w:after="240"/>
        <w:jc w:val="both"/>
      </w:pPr>
      <w:r w:rsidRPr="00AF4343">
        <w:lastRenderedPageBreak/>
        <w:t>Aspects épidémiologiques et médico-légaux des coups et blessures volontaires par armes blanches dans le service de Neurochirurgie du CHU Gabriel Touré de Bamako en 2021.  [Thèse]. Médecine Humaine. Bamako ; 2022 : 121p.</w:t>
      </w:r>
    </w:p>
    <w:p w14:paraId="1D5E13A8" w14:textId="77777777" w:rsidR="00AF4343" w:rsidRPr="00AF4343" w:rsidRDefault="005F796A" w:rsidP="00BA1192">
      <w:pPr>
        <w:pStyle w:val="Paragraphedeliste"/>
        <w:numPr>
          <w:ilvl w:val="0"/>
          <w:numId w:val="4"/>
        </w:numPr>
        <w:tabs>
          <w:tab w:val="left" w:pos="504"/>
        </w:tabs>
        <w:spacing w:after="240"/>
        <w:jc w:val="both"/>
      </w:pPr>
      <w:r w:rsidRPr="00AF4343">
        <w:rPr>
          <w:lang w:val="en-US"/>
        </w:rPr>
        <w:t xml:space="preserve">Ige OK, </w:t>
      </w:r>
      <w:proofErr w:type="spellStart"/>
      <w:r w:rsidRPr="00AF4343">
        <w:rPr>
          <w:lang w:val="en-US"/>
        </w:rPr>
        <w:t>Abodunrin</w:t>
      </w:r>
      <w:proofErr w:type="spellEnd"/>
      <w:r w:rsidRPr="00AF4343">
        <w:rPr>
          <w:lang w:val="en-US"/>
        </w:rPr>
        <w:t xml:space="preserve">, O L, </w:t>
      </w:r>
      <w:proofErr w:type="spellStart"/>
      <w:r w:rsidRPr="00AF4343">
        <w:rPr>
          <w:lang w:val="en-US"/>
        </w:rPr>
        <w:t>Amoo</w:t>
      </w:r>
      <w:proofErr w:type="spellEnd"/>
      <w:r w:rsidRPr="00AF4343">
        <w:rPr>
          <w:lang w:val="en-US"/>
        </w:rPr>
        <w:t xml:space="preserve"> PO. Pattern of traumatic head injury in a Nigerian tertiary hospital. Journal of Neurosurgery and Psychiatry,</w:t>
      </w:r>
      <w:r w:rsidR="00AF4343">
        <w:rPr>
          <w:lang w:val="en-US"/>
        </w:rPr>
        <w:t xml:space="preserve"> 2017; 88(5): </w:t>
      </w:r>
      <w:r w:rsidRPr="00AF4343">
        <w:rPr>
          <w:lang w:val="en-US"/>
        </w:rPr>
        <w:t>412-18.</w:t>
      </w:r>
    </w:p>
    <w:p w14:paraId="3D24DA17" w14:textId="77777777" w:rsidR="00010AAA" w:rsidRPr="00E5290F" w:rsidRDefault="005F796A" w:rsidP="00BA1192">
      <w:pPr>
        <w:pStyle w:val="Paragraphedeliste"/>
        <w:numPr>
          <w:ilvl w:val="0"/>
          <w:numId w:val="4"/>
        </w:numPr>
        <w:tabs>
          <w:tab w:val="left" w:pos="504"/>
        </w:tabs>
        <w:spacing w:after="240"/>
        <w:jc w:val="both"/>
        <w:rPr>
          <w:lang w:val="en-US"/>
        </w:rPr>
      </w:pPr>
      <w:r w:rsidRPr="00AF4343">
        <w:rPr>
          <w:lang w:val="en-US"/>
        </w:rPr>
        <w:t xml:space="preserve">Naidoo M, et al. Patterns of Injury in Assault-Related Traumatic Brain Injuries in South Africa. </w:t>
      </w:r>
      <w:r w:rsidR="00010AAA" w:rsidRPr="00E5290F">
        <w:rPr>
          <w:lang w:val="en-US"/>
        </w:rPr>
        <w:t xml:space="preserve">S </w:t>
      </w:r>
      <w:proofErr w:type="spellStart"/>
      <w:r w:rsidR="00010AAA" w:rsidRPr="00E5290F">
        <w:rPr>
          <w:lang w:val="en-US"/>
        </w:rPr>
        <w:t>Afr</w:t>
      </w:r>
      <w:proofErr w:type="spellEnd"/>
      <w:r w:rsidR="00010AAA" w:rsidRPr="00E5290F">
        <w:rPr>
          <w:lang w:val="en-US"/>
        </w:rPr>
        <w:t xml:space="preserve"> Med J. 2018</w:t>
      </w:r>
      <w:r w:rsidRPr="00E5290F">
        <w:rPr>
          <w:lang w:val="en-US"/>
        </w:rPr>
        <w:t>;108(2) :135-40.</w:t>
      </w:r>
    </w:p>
    <w:p w14:paraId="49CF77D3" w14:textId="77777777" w:rsidR="00010AAA" w:rsidRPr="00E5290F" w:rsidRDefault="005F796A" w:rsidP="00BA1192">
      <w:pPr>
        <w:pStyle w:val="Paragraphedeliste"/>
        <w:numPr>
          <w:ilvl w:val="0"/>
          <w:numId w:val="4"/>
        </w:numPr>
        <w:tabs>
          <w:tab w:val="left" w:pos="504"/>
        </w:tabs>
        <w:spacing w:after="240"/>
        <w:jc w:val="both"/>
        <w:rPr>
          <w:lang w:val="en-US"/>
        </w:rPr>
      </w:pPr>
      <w:r w:rsidRPr="00010AAA">
        <w:rPr>
          <w:lang w:val="en-US"/>
        </w:rPr>
        <w:t xml:space="preserve">Balogun JA, et al. Recovery Outcomes in Traumatic Brain Injury Patients in Nigeria. </w:t>
      </w:r>
      <w:r w:rsidR="00010AAA" w:rsidRPr="00E5290F">
        <w:rPr>
          <w:lang w:val="en-US"/>
        </w:rPr>
        <w:t xml:space="preserve">Niger J </w:t>
      </w:r>
      <w:proofErr w:type="spellStart"/>
      <w:r w:rsidR="00010AAA" w:rsidRPr="00E5290F">
        <w:rPr>
          <w:lang w:val="en-US"/>
        </w:rPr>
        <w:t>ClinPract</w:t>
      </w:r>
      <w:proofErr w:type="spellEnd"/>
      <w:r w:rsidR="00010AAA" w:rsidRPr="00E5290F">
        <w:rPr>
          <w:lang w:val="en-US"/>
        </w:rPr>
        <w:t>. 2019</w:t>
      </w:r>
      <w:r w:rsidRPr="00E5290F">
        <w:rPr>
          <w:lang w:val="en-US"/>
        </w:rPr>
        <w:t>;22(1) :65-72.</w:t>
      </w:r>
    </w:p>
    <w:p w14:paraId="3734C0D4" w14:textId="77777777" w:rsidR="00010AAA" w:rsidRDefault="005F796A" w:rsidP="00BA1192">
      <w:pPr>
        <w:pStyle w:val="Paragraphedeliste"/>
        <w:numPr>
          <w:ilvl w:val="0"/>
          <w:numId w:val="4"/>
        </w:numPr>
        <w:tabs>
          <w:tab w:val="left" w:pos="504"/>
        </w:tabs>
        <w:spacing w:after="240"/>
        <w:jc w:val="both"/>
      </w:pPr>
      <w:r w:rsidRPr="00010AAA">
        <w:rPr>
          <w:lang w:val="en-US"/>
        </w:rPr>
        <w:t xml:space="preserve">Silva MT, et al. Profile of Patients with Traumatic Brain Injuries in a Brazilian Urban Center. </w:t>
      </w:r>
      <w:r w:rsidR="00010AAA" w:rsidRPr="00E5290F">
        <w:rPr>
          <w:lang w:val="en-US"/>
        </w:rPr>
        <w:t xml:space="preserve">Rev Bras Neurol. </w:t>
      </w:r>
      <w:r w:rsidR="00010AAA">
        <w:t>2019</w:t>
      </w:r>
      <w:r w:rsidRPr="00010AAA">
        <w:t>;35(4) :210-15.</w:t>
      </w:r>
    </w:p>
    <w:p w14:paraId="7DD6636C" w14:textId="77777777" w:rsidR="00AC3256" w:rsidRDefault="005F796A" w:rsidP="00BA1192">
      <w:pPr>
        <w:pStyle w:val="Paragraphedeliste"/>
        <w:numPr>
          <w:ilvl w:val="0"/>
          <w:numId w:val="4"/>
        </w:numPr>
        <w:tabs>
          <w:tab w:val="left" w:pos="504"/>
        </w:tabs>
        <w:spacing w:after="240"/>
        <w:jc w:val="both"/>
        <w:rPr>
          <w:lang w:val="en-US"/>
        </w:rPr>
      </w:pPr>
      <w:r w:rsidRPr="00010AAA">
        <w:rPr>
          <w:lang w:val="en-US"/>
        </w:rPr>
        <w:t xml:space="preserve">Gómez PA, et al. Management and Outcomes of Severe Traumatic Brain Injury in Spain: A Multicenter Study. </w:t>
      </w:r>
      <w:r w:rsidR="00010AAA" w:rsidRPr="00E5290F">
        <w:rPr>
          <w:lang w:val="en-US"/>
        </w:rPr>
        <w:t>Neurosurgery, 2019</w:t>
      </w:r>
      <w:r w:rsidRPr="00E5290F">
        <w:rPr>
          <w:lang w:val="en-US"/>
        </w:rPr>
        <w:t>;85(4):595-602.</w:t>
      </w:r>
    </w:p>
    <w:p w14:paraId="24B12158" w14:textId="77777777" w:rsidR="00E5290F" w:rsidRPr="00AC3256" w:rsidRDefault="00AC3256" w:rsidP="00BA1192">
      <w:pPr>
        <w:pStyle w:val="Paragraphedeliste"/>
        <w:numPr>
          <w:ilvl w:val="0"/>
          <w:numId w:val="4"/>
        </w:numPr>
        <w:tabs>
          <w:tab w:val="left" w:pos="504"/>
        </w:tabs>
        <w:spacing w:after="240"/>
        <w:jc w:val="both"/>
        <w:rPr>
          <w:lang w:val="en-US"/>
        </w:rPr>
      </w:pPr>
      <w:proofErr w:type="spellStart"/>
      <w:r w:rsidRPr="00AC3256">
        <w:rPr>
          <w:lang w:val="en-US"/>
        </w:rPr>
        <w:t>Stiell</w:t>
      </w:r>
      <w:proofErr w:type="spellEnd"/>
      <w:r>
        <w:rPr>
          <w:lang w:val="en-US"/>
        </w:rPr>
        <w:t xml:space="preserve"> IG, </w:t>
      </w:r>
      <w:r w:rsidRPr="00AC3256">
        <w:rPr>
          <w:lang w:val="en-US"/>
        </w:rPr>
        <w:t>Clement</w:t>
      </w:r>
      <w:r>
        <w:rPr>
          <w:lang w:val="en-US"/>
        </w:rPr>
        <w:t xml:space="preserve"> CM, </w:t>
      </w:r>
      <w:proofErr w:type="spellStart"/>
      <w:r w:rsidRPr="00AC3256">
        <w:rPr>
          <w:lang w:val="en-US"/>
        </w:rPr>
        <w:t>Grimshaw</w:t>
      </w:r>
      <w:proofErr w:type="spellEnd"/>
      <w:r>
        <w:rPr>
          <w:lang w:val="en-US"/>
        </w:rPr>
        <w:t xml:space="preserve"> JM, </w:t>
      </w:r>
      <w:proofErr w:type="spellStart"/>
      <w:r w:rsidRPr="00AC3256">
        <w:rPr>
          <w:lang w:val="en-US"/>
        </w:rPr>
        <w:t>Brison</w:t>
      </w:r>
      <w:proofErr w:type="spellEnd"/>
      <w:r>
        <w:rPr>
          <w:lang w:val="en-US"/>
        </w:rPr>
        <w:t xml:space="preserve"> RJ</w:t>
      </w:r>
      <w:r w:rsidRPr="00AC3256">
        <w:rPr>
          <w:lang w:val="en-US"/>
        </w:rPr>
        <w:t>, Rowe</w:t>
      </w:r>
      <w:r>
        <w:rPr>
          <w:lang w:val="en-US"/>
        </w:rPr>
        <w:t xml:space="preserve"> BH, </w:t>
      </w:r>
      <w:r w:rsidRPr="00AC3256">
        <w:rPr>
          <w:lang w:val="en-US"/>
        </w:rPr>
        <w:t>Lee</w:t>
      </w:r>
      <w:r>
        <w:rPr>
          <w:lang w:val="en-US"/>
        </w:rPr>
        <w:t xml:space="preserve"> JS</w:t>
      </w:r>
      <w:r w:rsidRPr="00AC3256">
        <w:rPr>
          <w:lang w:val="en-US"/>
        </w:rPr>
        <w:t xml:space="preserve">, and al. A prospective cluster-randomized trial to implement the Canadian CT Head Rule in emergency departments. </w:t>
      </w:r>
      <w:r>
        <w:rPr>
          <w:lang w:val="en-US"/>
        </w:rPr>
        <w:t xml:space="preserve">CMAJ, </w:t>
      </w:r>
      <w:r w:rsidRPr="00AC3256">
        <w:rPr>
          <w:lang w:val="en-US"/>
        </w:rPr>
        <w:t>2010</w:t>
      </w:r>
      <w:r>
        <w:rPr>
          <w:lang w:val="en-US"/>
        </w:rPr>
        <w:t>;</w:t>
      </w:r>
      <w:r w:rsidRPr="00AC3256">
        <w:rPr>
          <w:lang w:val="en-US"/>
        </w:rPr>
        <w:t xml:space="preserve"> 182 (14)</w:t>
      </w:r>
      <w:r>
        <w:rPr>
          <w:lang w:val="en-US"/>
        </w:rPr>
        <w:t>: 1527-</w:t>
      </w:r>
      <w:r w:rsidRPr="00AC3256">
        <w:rPr>
          <w:lang w:val="en-US"/>
        </w:rPr>
        <w:t>32</w:t>
      </w:r>
      <w:r>
        <w:rPr>
          <w:lang w:val="en-US"/>
        </w:rPr>
        <w:t>.</w:t>
      </w:r>
    </w:p>
    <w:p w14:paraId="3A58F13B" w14:textId="77777777" w:rsidR="00010AAA" w:rsidRPr="00E5290F" w:rsidRDefault="00757BEE" w:rsidP="00BA1192">
      <w:pPr>
        <w:pStyle w:val="Paragraphedeliste"/>
        <w:numPr>
          <w:ilvl w:val="0"/>
          <w:numId w:val="4"/>
        </w:numPr>
        <w:tabs>
          <w:tab w:val="left" w:pos="504"/>
        </w:tabs>
        <w:spacing w:after="240"/>
        <w:jc w:val="both"/>
        <w:rPr>
          <w:lang w:val="en-US"/>
        </w:rPr>
      </w:pPr>
      <w:r w:rsidRPr="00010AAA">
        <w:rPr>
          <w:lang w:val="en-US"/>
        </w:rPr>
        <w:t>Wright DW, et al. Epidemiology of Traumatic Brain Injury in the United State</w:t>
      </w:r>
      <w:r w:rsidR="00010AAA">
        <w:rPr>
          <w:lang w:val="en-US"/>
        </w:rPr>
        <w:t>s: A National Study. JAMA, 2019</w:t>
      </w:r>
      <w:r w:rsidRPr="00010AAA">
        <w:rPr>
          <w:lang w:val="en-US"/>
        </w:rPr>
        <w:t>;</w:t>
      </w:r>
      <w:r w:rsidR="00010AAA">
        <w:rPr>
          <w:lang w:val="en-US"/>
        </w:rPr>
        <w:t xml:space="preserve"> 322(2)</w:t>
      </w:r>
      <w:r w:rsidRPr="00010AAA">
        <w:rPr>
          <w:lang w:val="en-US"/>
        </w:rPr>
        <w:t>:181-82.</w:t>
      </w:r>
    </w:p>
    <w:p w14:paraId="012B2A1F" w14:textId="77777777" w:rsidR="00010AAA" w:rsidRPr="00E5290F" w:rsidRDefault="005F796A" w:rsidP="00BA1192">
      <w:pPr>
        <w:pStyle w:val="Paragraphedeliste"/>
        <w:numPr>
          <w:ilvl w:val="0"/>
          <w:numId w:val="4"/>
        </w:numPr>
        <w:tabs>
          <w:tab w:val="left" w:pos="504"/>
        </w:tabs>
        <w:spacing w:after="240"/>
        <w:jc w:val="both"/>
        <w:rPr>
          <w:lang w:val="en-US"/>
        </w:rPr>
      </w:pPr>
      <w:r w:rsidRPr="00010AAA">
        <w:rPr>
          <w:lang w:val="en-US"/>
        </w:rPr>
        <w:t xml:space="preserve">Lescot T, et al. Characteristics and Outcomes of Severe Traumatic Brain Injury in Adults in France: A National Cohort Study. J Neurotrauma, </w:t>
      </w:r>
      <w:r w:rsidR="00010AAA" w:rsidRPr="00010AAA">
        <w:rPr>
          <w:lang w:val="en-US"/>
        </w:rPr>
        <w:t>2020; 37</w:t>
      </w:r>
      <w:r w:rsidRPr="00010AAA">
        <w:rPr>
          <w:lang w:val="en-US"/>
        </w:rPr>
        <w:t>(6):856-65.</w:t>
      </w:r>
    </w:p>
    <w:p w14:paraId="6FFB97E3" w14:textId="77777777" w:rsidR="00010AAA" w:rsidRPr="00E5290F" w:rsidRDefault="005F796A" w:rsidP="00BA1192">
      <w:pPr>
        <w:pStyle w:val="Paragraphedeliste"/>
        <w:numPr>
          <w:ilvl w:val="0"/>
          <w:numId w:val="4"/>
        </w:numPr>
        <w:tabs>
          <w:tab w:val="left" w:pos="504"/>
        </w:tabs>
        <w:spacing w:after="240"/>
        <w:jc w:val="both"/>
        <w:rPr>
          <w:lang w:val="en-US"/>
        </w:rPr>
      </w:pPr>
      <w:proofErr w:type="spellStart"/>
      <w:r w:rsidRPr="00010AAA">
        <w:rPr>
          <w:lang w:val="en-US"/>
        </w:rPr>
        <w:t>Nabunya</w:t>
      </w:r>
      <w:proofErr w:type="spellEnd"/>
      <w:r w:rsidRPr="00010AAA">
        <w:rPr>
          <w:lang w:val="en-US"/>
        </w:rPr>
        <w:t xml:space="preserve"> VM, et al. Epidemiology of Traumatic Brain Injury in Uganda: A Cross-Sectional Study. </w:t>
      </w:r>
      <w:proofErr w:type="spellStart"/>
      <w:r w:rsidRPr="00010AAA">
        <w:rPr>
          <w:lang w:val="en-US"/>
        </w:rPr>
        <w:t>Afr</w:t>
      </w:r>
      <w:proofErr w:type="spellEnd"/>
      <w:r w:rsidRPr="00010AAA">
        <w:rPr>
          <w:lang w:val="en-US"/>
        </w:rPr>
        <w:t xml:space="preserve"> J </w:t>
      </w:r>
      <w:proofErr w:type="spellStart"/>
      <w:r w:rsidRPr="00010AAA">
        <w:rPr>
          <w:lang w:val="en-US"/>
        </w:rPr>
        <w:t>Emerg</w:t>
      </w:r>
      <w:proofErr w:type="spellEnd"/>
      <w:r w:rsidRPr="00010AAA">
        <w:rPr>
          <w:lang w:val="en-US"/>
        </w:rPr>
        <w:t xml:space="preserve"> Med. </w:t>
      </w:r>
      <w:r w:rsidR="00010AAA" w:rsidRPr="00010AAA">
        <w:rPr>
          <w:lang w:val="en-US"/>
        </w:rPr>
        <w:t>2020; 10</w:t>
      </w:r>
      <w:r w:rsidRPr="00010AAA">
        <w:rPr>
          <w:lang w:val="en-US"/>
        </w:rPr>
        <w:t>(3</w:t>
      </w:r>
      <w:r w:rsidR="00010AAA" w:rsidRPr="00010AAA">
        <w:rPr>
          <w:lang w:val="en-US"/>
        </w:rPr>
        <w:t>):</w:t>
      </w:r>
      <w:r w:rsidRPr="00010AAA">
        <w:rPr>
          <w:lang w:val="en-US"/>
        </w:rPr>
        <w:t>124-130.).</w:t>
      </w:r>
    </w:p>
    <w:p w14:paraId="21FEDB40" w14:textId="77777777" w:rsidR="005F796A" w:rsidRDefault="005F796A" w:rsidP="00BA1192">
      <w:pPr>
        <w:pStyle w:val="Paragraphedeliste"/>
        <w:numPr>
          <w:ilvl w:val="0"/>
          <w:numId w:val="4"/>
        </w:numPr>
        <w:tabs>
          <w:tab w:val="left" w:pos="504"/>
        </w:tabs>
        <w:spacing w:after="240"/>
        <w:jc w:val="both"/>
        <w:rPr>
          <w:lang w:val="en-US"/>
        </w:rPr>
      </w:pPr>
      <w:proofErr w:type="spellStart"/>
      <w:r w:rsidRPr="00010AAA">
        <w:rPr>
          <w:lang w:val="en-US"/>
        </w:rPr>
        <w:t>Odero</w:t>
      </w:r>
      <w:proofErr w:type="spellEnd"/>
      <w:r w:rsidRPr="00010AAA">
        <w:rPr>
          <w:lang w:val="en-US"/>
        </w:rPr>
        <w:t xml:space="preserve"> W, et al. Injury Research in Low-Income and Middle-Income Countries: A Review of Trauma Epidemiology in Sub-Saharan Africa. </w:t>
      </w:r>
      <w:proofErr w:type="spellStart"/>
      <w:r w:rsidRPr="00010AAA">
        <w:rPr>
          <w:lang w:val="en-US"/>
        </w:rPr>
        <w:t>Inj</w:t>
      </w:r>
      <w:proofErr w:type="spellEnd"/>
      <w:r w:rsidRPr="00010AAA">
        <w:rPr>
          <w:lang w:val="en-US"/>
        </w:rPr>
        <w:t xml:space="preserve"> Prev. </w:t>
      </w:r>
      <w:r w:rsidR="00010AAA" w:rsidRPr="00010AAA">
        <w:rPr>
          <w:lang w:val="en-US"/>
        </w:rPr>
        <w:t>2019;</w:t>
      </w:r>
      <w:r w:rsidRPr="00010AAA">
        <w:rPr>
          <w:lang w:val="en-US"/>
        </w:rPr>
        <w:t xml:space="preserve"> 25(3):122-30.</w:t>
      </w:r>
    </w:p>
    <w:p w14:paraId="492DE7F6" w14:textId="77777777" w:rsidR="002F6887" w:rsidRPr="000B28C5" w:rsidRDefault="00FB42A3" w:rsidP="00BA1192">
      <w:pPr>
        <w:spacing w:line="240" w:lineRule="auto"/>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fr-FR"/>
        </w:rPr>
        <w:pict w14:anchorId="3FB5D6EE">
          <v:shape id="_x0000_s1034" type="#_x0000_t32" style="position:absolute;left:0;text-align:left;margin-left:63.4pt;margin-top:6.1pt;width:381pt;height:1.5pt;flip:y;z-index:251665408" o:connectortype="straight" strokecolor="#002060" strokeweight="1pt"/>
        </w:pict>
      </w:r>
      <w:r w:rsidR="00A82515" w:rsidRPr="000B28C5">
        <w:rPr>
          <w:rFonts w:ascii="Times New Roman" w:hAnsi="Times New Roman" w:cs="Times New Roman"/>
          <w:b/>
          <w:color w:val="002060"/>
          <w:sz w:val="24"/>
          <w:szCs w:val="24"/>
        </w:rPr>
        <w:t>ANNEXES</w:t>
      </w:r>
    </w:p>
    <w:p w14:paraId="0128ADAD" w14:textId="77777777" w:rsidR="00BB4957" w:rsidRPr="00BB4957" w:rsidRDefault="00BB4957" w:rsidP="00BA1192">
      <w:pPr>
        <w:spacing w:line="240" w:lineRule="auto"/>
        <w:jc w:val="both"/>
        <w:rPr>
          <w:rFonts w:ascii="Times New Roman" w:hAnsi="Times New Roman" w:cs="Times New Roman"/>
          <w:b/>
          <w:color w:val="000000" w:themeColor="text1"/>
          <w:sz w:val="24"/>
          <w:szCs w:val="24"/>
        </w:rPr>
      </w:pPr>
      <w:r w:rsidRPr="00BB4957">
        <w:rPr>
          <w:rFonts w:ascii="Times New Roman" w:hAnsi="Times New Roman" w:cs="Times New Roman"/>
          <w:b/>
          <w:color w:val="000000" w:themeColor="text1"/>
          <w:sz w:val="24"/>
          <w:szCs w:val="24"/>
        </w:rPr>
        <w:t xml:space="preserve">Tableau 1 : </w:t>
      </w:r>
      <w:r w:rsidR="00006493" w:rsidRPr="009B1C5C">
        <w:rPr>
          <w:rFonts w:ascii="Times New Roman" w:hAnsi="Times New Roman" w:cs="Times New Roman"/>
          <w:color w:val="000000" w:themeColor="text1"/>
          <w:sz w:val="24"/>
          <w:szCs w:val="24"/>
        </w:rPr>
        <w:t>Répartition des patients selon les tranches d’âge</w:t>
      </w:r>
    </w:p>
    <w:tbl>
      <w:tblPr>
        <w:tblStyle w:val="TableauListe6Couleur1"/>
        <w:tblpPr w:leftFromText="141" w:rightFromText="141" w:vertAnchor="text" w:horzAnchor="margin" w:tblpXSpec="center" w:tblpY="147"/>
        <w:tblW w:w="7537" w:type="dxa"/>
        <w:tblLook w:val="04A0" w:firstRow="1" w:lastRow="0" w:firstColumn="1" w:lastColumn="0" w:noHBand="0" w:noVBand="1"/>
      </w:tblPr>
      <w:tblGrid>
        <w:gridCol w:w="3926"/>
        <w:gridCol w:w="3611"/>
      </w:tblGrid>
      <w:tr w:rsidR="009B1C5C" w:rsidRPr="00844414" w14:paraId="40FCC929" w14:textId="77777777" w:rsidTr="009B1C5C">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926" w:type="dxa"/>
            <w:hideMark/>
          </w:tcPr>
          <w:p w14:paraId="109B6924" w14:textId="77777777" w:rsidR="009B1C5C" w:rsidRPr="00BB4957" w:rsidRDefault="009B1C5C" w:rsidP="00BA1192">
            <w:pPr>
              <w:rPr>
                <w:rFonts w:ascii="Times New Roman" w:eastAsia="Times New Roman" w:hAnsi="Times New Roman" w:cs="Times New Roman"/>
                <w:color w:val="auto"/>
                <w:kern w:val="24"/>
                <w:sz w:val="24"/>
                <w:szCs w:val="24"/>
                <w:lang w:eastAsia="fr-FR"/>
              </w:rPr>
            </w:pPr>
            <w:r w:rsidRPr="00BB4957">
              <w:rPr>
                <w:rFonts w:ascii="Times New Roman" w:eastAsia="Times New Roman" w:hAnsi="Times New Roman" w:cs="Times New Roman"/>
                <w:color w:val="auto"/>
                <w:kern w:val="24"/>
                <w:sz w:val="24"/>
                <w:szCs w:val="24"/>
                <w:lang w:eastAsia="fr-FR"/>
              </w:rPr>
              <w:t xml:space="preserve">Tranches d’âge </w:t>
            </w:r>
          </w:p>
        </w:tc>
        <w:tc>
          <w:tcPr>
            <w:tcW w:w="3611" w:type="dxa"/>
            <w:hideMark/>
          </w:tcPr>
          <w:p w14:paraId="351D52C3" w14:textId="77777777" w:rsidR="009B1C5C" w:rsidRPr="00BB4957" w:rsidRDefault="009B1C5C" w:rsidP="00BA119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24"/>
                <w:sz w:val="24"/>
                <w:szCs w:val="24"/>
                <w:lang w:eastAsia="fr-FR"/>
              </w:rPr>
            </w:pPr>
            <w:r w:rsidRPr="00BB4957">
              <w:rPr>
                <w:rFonts w:ascii="Times New Roman" w:eastAsia="Times New Roman" w:hAnsi="Times New Roman" w:cs="Times New Roman"/>
                <w:color w:val="auto"/>
                <w:kern w:val="24"/>
                <w:sz w:val="24"/>
                <w:szCs w:val="24"/>
                <w:lang w:eastAsia="fr-FR"/>
              </w:rPr>
              <w:t>Proportion (%, n=359)</w:t>
            </w:r>
          </w:p>
        </w:tc>
      </w:tr>
      <w:tr w:rsidR="009B1C5C" w:rsidRPr="00BB4957" w14:paraId="17C66E3F" w14:textId="77777777" w:rsidTr="009B1C5C">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926" w:type="dxa"/>
            <w:shd w:val="clear" w:color="auto" w:fill="auto"/>
            <w:hideMark/>
          </w:tcPr>
          <w:p w14:paraId="3CBE0293" w14:textId="77777777" w:rsidR="009B1C5C" w:rsidRPr="00BB4957" w:rsidRDefault="009B1C5C" w:rsidP="00BA1192">
            <w:pPr>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[0-9[</w:t>
            </w:r>
          </w:p>
        </w:tc>
        <w:tc>
          <w:tcPr>
            <w:tcW w:w="3611" w:type="dxa"/>
            <w:shd w:val="clear" w:color="auto" w:fill="auto"/>
            <w:hideMark/>
          </w:tcPr>
          <w:p w14:paraId="607586EF" w14:textId="77777777" w:rsidR="009B1C5C" w:rsidRPr="00BB4957" w:rsidRDefault="009B1C5C" w:rsidP="00BA11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1,43</w:t>
            </w:r>
          </w:p>
        </w:tc>
      </w:tr>
      <w:tr w:rsidR="009B1C5C" w:rsidRPr="00BB4957" w14:paraId="044A0152" w14:textId="77777777" w:rsidTr="009B1C5C">
        <w:trPr>
          <w:trHeight w:val="385"/>
        </w:trPr>
        <w:tc>
          <w:tcPr>
            <w:cnfStyle w:val="001000000000" w:firstRow="0" w:lastRow="0" w:firstColumn="1" w:lastColumn="0" w:oddVBand="0" w:evenVBand="0" w:oddHBand="0" w:evenHBand="0" w:firstRowFirstColumn="0" w:firstRowLastColumn="0" w:lastRowFirstColumn="0" w:lastRowLastColumn="0"/>
            <w:tcW w:w="3926" w:type="dxa"/>
            <w:shd w:val="clear" w:color="auto" w:fill="auto"/>
            <w:hideMark/>
          </w:tcPr>
          <w:p w14:paraId="32801E2F" w14:textId="77777777" w:rsidR="009B1C5C" w:rsidRPr="00BB4957" w:rsidRDefault="009B1C5C" w:rsidP="00BA1192">
            <w:pPr>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[10-19[</w:t>
            </w:r>
          </w:p>
        </w:tc>
        <w:tc>
          <w:tcPr>
            <w:tcW w:w="3611" w:type="dxa"/>
            <w:shd w:val="clear" w:color="auto" w:fill="auto"/>
            <w:hideMark/>
          </w:tcPr>
          <w:p w14:paraId="7812CCDC" w14:textId="77777777" w:rsidR="009B1C5C" w:rsidRPr="00BB4957" w:rsidRDefault="009B1C5C" w:rsidP="00BA11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14,29</w:t>
            </w:r>
          </w:p>
        </w:tc>
      </w:tr>
      <w:tr w:rsidR="009B1C5C" w:rsidRPr="00BB4957" w14:paraId="25E5FD55" w14:textId="77777777" w:rsidTr="009B1C5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926" w:type="dxa"/>
            <w:shd w:val="clear" w:color="auto" w:fill="auto"/>
            <w:hideMark/>
          </w:tcPr>
          <w:p w14:paraId="262161C2" w14:textId="77777777" w:rsidR="009B1C5C" w:rsidRPr="00BB4957" w:rsidRDefault="009B1C5C" w:rsidP="00BA1192">
            <w:pPr>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[20-29[</w:t>
            </w:r>
          </w:p>
        </w:tc>
        <w:tc>
          <w:tcPr>
            <w:tcW w:w="3611" w:type="dxa"/>
            <w:shd w:val="clear" w:color="auto" w:fill="auto"/>
            <w:hideMark/>
          </w:tcPr>
          <w:p w14:paraId="69B02771" w14:textId="77777777" w:rsidR="009B1C5C" w:rsidRPr="00BB4957" w:rsidRDefault="009B1C5C" w:rsidP="00BA11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37,86</w:t>
            </w:r>
          </w:p>
        </w:tc>
      </w:tr>
      <w:tr w:rsidR="009B1C5C" w:rsidRPr="00BB4957" w14:paraId="0EB0989C" w14:textId="77777777" w:rsidTr="009B1C5C">
        <w:trPr>
          <w:trHeight w:val="385"/>
        </w:trPr>
        <w:tc>
          <w:tcPr>
            <w:cnfStyle w:val="001000000000" w:firstRow="0" w:lastRow="0" w:firstColumn="1" w:lastColumn="0" w:oddVBand="0" w:evenVBand="0" w:oddHBand="0" w:evenHBand="0" w:firstRowFirstColumn="0" w:firstRowLastColumn="0" w:lastRowFirstColumn="0" w:lastRowLastColumn="0"/>
            <w:tcW w:w="3926" w:type="dxa"/>
            <w:shd w:val="clear" w:color="auto" w:fill="auto"/>
            <w:hideMark/>
          </w:tcPr>
          <w:p w14:paraId="03347335" w14:textId="77777777" w:rsidR="009B1C5C" w:rsidRPr="00BB4957" w:rsidRDefault="009B1C5C" w:rsidP="00BA1192">
            <w:pPr>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[30-39[</w:t>
            </w:r>
          </w:p>
        </w:tc>
        <w:tc>
          <w:tcPr>
            <w:tcW w:w="3611" w:type="dxa"/>
            <w:shd w:val="clear" w:color="auto" w:fill="auto"/>
            <w:hideMark/>
          </w:tcPr>
          <w:p w14:paraId="0E347D1E" w14:textId="77777777" w:rsidR="009B1C5C" w:rsidRPr="00BB4957" w:rsidRDefault="009B1C5C" w:rsidP="00BA11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24,64</w:t>
            </w:r>
          </w:p>
        </w:tc>
      </w:tr>
      <w:tr w:rsidR="009B1C5C" w:rsidRPr="00BB4957" w14:paraId="6D8CA967" w14:textId="77777777" w:rsidTr="009B1C5C">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3926" w:type="dxa"/>
            <w:shd w:val="clear" w:color="auto" w:fill="auto"/>
            <w:hideMark/>
          </w:tcPr>
          <w:p w14:paraId="27DB3F56" w14:textId="77777777" w:rsidR="009B1C5C" w:rsidRPr="00BB4957" w:rsidRDefault="009B1C5C" w:rsidP="00BA1192">
            <w:pPr>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[40-49[</w:t>
            </w:r>
          </w:p>
        </w:tc>
        <w:tc>
          <w:tcPr>
            <w:tcW w:w="3611" w:type="dxa"/>
            <w:shd w:val="clear" w:color="auto" w:fill="auto"/>
            <w:hideMark/>
          </w:tcPr>
          <w:p w14:paraId="21199598" w14:textId="77777777" w:rsidR="009B1C5C" w:rsidRPr="00BB4957" w:rsidRDefault="009B1C5C" w:rsidP="00BA11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11,79</w:t>
            </w:r>
          </w:p>
        </w:tc>
      </w:tr>
      <w:tr w:rsidR="009B1C5C" w:rsidRPr="00BB4957" w14:paraId="5AD58B0D" w14:textId="77777777" w:rsidTr="009B1C5C">
        <w:trPr>
          <w:trHeight w:val="378"/>
        </w:trPr>
        <w:tc>
          <w:tcPr>
            <w:cnfStyle w:val="001000000000" w:firstRow="0" w:lastRow="0" w:firstColumn="1" w:lastColumn="0" w:oddVBand="0" w:evenVBand="0" w:oddHBand="0" w:evenHBand="0" w:firstRowFirstColumn="0" w:firstRowLastColumn="0" w:lastRowFirstColumn="0" w:lastRowLastColumn="0"/>
            <w:tcW w:w="3926" w:type="dxa"/>
            <w:shd w:val="clear" w:color="auto" w:fill="auto"/>
            <w:hideMark/>
          </w:tcPr>
          <w:p w14:paraId="484BD5AB" w14:textId="77777777" w:rsidR="009B1C5C" w:rsidRPr="00BB4957" w:rsidRDefault="009B1C5C" w:rsidP="00BA1192">
            <w:pPr>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[50-59[</w:t>
            </w:r>
          </w:p>
        </w:tc>
        <w:tc>
          <w:tcPr>
            <w:tcW w:w="3611" w:type="dxa"/>
            <w:shd w:val="clear" w:color="auto" w:fill="auto"/>
            <w:hideMark/>
          </w:tcPr>
          <w:p w14:paraId="2050E7B3" w14:textId="77777777" w:rsidR="009B1C5C" w:rsidRPr="00BB4957" w:rsidRDefault="009B1C5C" w:rsidP="00BA11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7,14</w:t>
            </w:r>
          </w:p>
        </w:tc>
      </w:tr>
      <w:tr w:rsidR="009B1C5C" w:rsidRPr="00BB4957" w14:paraId="5AFF1043" w14:textId="77777777" w:rsidTr="009B1C5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926" w:type="dxa"/>
            <w:shd w:val="clear" w:color="auto" w:fill="auto"/>
            <w:hideMark/>
          </w:tcPr>
          <w:p w14:paraId="4D44676F" w14:textId="77777777" w:rsidR="009B1C5C" w:rsidRPr="00BB4957" w:rsidRDefault="009B1C5C" w:rsidP="00BA1192">
            <w:pPr>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&gt;60 ans</w:t>
            </w:r>
          </w:p>
        </w:tc>
        <w:tc>
          <w:tcPr>
            <w:tcW w:w="3611" w:type="dxa"/>
            <w:shd w:val="clear" w:color="auto" w:fill="auto"/>
            <w:hideMark/>
          </w:tcPr>
          <w:p w14:paraId="5440F4E0" w14:textId="77777777" w:rsidR="002B7E61" w:rsidRPr="002B7E61" w:rsidRDefault="009B1C5C" w:rsidP="00BA11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24"/>
                <w:sz w:val="24"/>
                <w:szCs w:val="24"/>
                <w:lang w:eastAsia="fr-FR"/>
              </w:rPr>
            </w:pPr>
            <w:r w:rsidRPr="00BB4957">
              <w:rPr>
                <w:rFonts w:ascii="Times New Roman" w:eastAsia="Times New Roman" w:hAnsi="Times New Roman" w:cs="Times New Roman"/>
                <w:color w:val="auto"/>
                <w:kern w:val="24"/>
                <w:sz w:val="24"/>
                <w:szCs w:val="24"/>
                <w:lang w:eastAsia="fr-FR"/>
              </w:rPr>
              <w:t>2,86</w:t>
            </w:r>
          </w:p>
        </w:tc>
      </w:tr>
      <w:tr w:rsidR="009B1C5C" w:rsidRPr="00BB4957" w14:paraId="2D8CE284" w14:textId="77777777" w:rsidTr="009B1C5C">
        <w:trPr>
          <w:trHeight w:val="378"/>
        </w:trPr>
        <w:tc>
          <w:tcPr>
            <w:cnfStyle w:val="001000000000" w:firstRow="0" w:lastRow="0" w:firstColumn="1" w:lastColumn="0" w:oddVBand="0" w:evenVBand="0" w:oddHBand="0" w:evenHBand="0" w:firstRowFirstColumn="0" w:firstRowLastColumn="0" w:lastRowFirstColumn="0" w:lastRowLastColumn="0"/>
            <w:tcW w:w="3926" w:type="dxa"/>
            <w:shd w:val="clear" w:color="auto" w:fill="auto"/>
            <w:hideMark/>
          </w:tcPr>
          <w:p w14:paraId="061FC0D8" w14:textId="77777777" w:rsidR="009B1C5C" w:rsidRPr="00BB4957" w:rsidRDefault="009B1C5C" w:rsidP="00BA1192">
            <w:pPr>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Total</w:t>
            </w:r>
          </w:p>
        </w:tc>
        <w:tc>
          <w:tcPr>
            <w:tcW w:w="3611" w:type="dxa"/>
            <w:shd w:val="clear" w:color="auto" w:fill="auto"/>
            <w:hideMark/>
          </w:tcPr>
          <w:p w14:paraId="0B35E488" w14:textId="77777777" w:rsidR="009B1C5C" w:rsidRPr="00BB4957" w:rsidRDefault="009B1C5C" w:rsidP="00BA11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BB4957">
              <w:rPr>
                <w:rFonts w:ascii="Times New Roman" w:eastAsia="Times New Roman" w:hAnsi="Times New Roman" w:cs="Times New Roman"/>
                <w:color w:val="auto"/>
                <w:kern w:val="24"/>
                <w:sz w:val="24"/>
                <w:szCs w:val="24"/>
                <w:lang w:eastAsia="fr-FR"/>
              </w:rPr>
              <w:t>100</w:t>
            </w:r>
          </w:p>
        </w:tc>
      </w:tr>
    </w:tbl>
    <w:p w14:paraId="10DAA2C5" w14:textId="77777777" w:rsidR="00844414" w:rsidRDefault="00844414" w:rsidP="00BA1192">
      <w:pPr>
        <w:spacing w:after="0" w:line="240" w:lineRule="auto"/>
        <w:rPr>
          <w:rFonts w:ascii="Times New Roman" w:eastAsia="Times New Roman" w:hAnsi="Times New Roman" w:cs="Times New Roman"/>
          <w:b/>
          <w:bCs/>
          <w:kern w:val="24"/>
          <w:sz w:val="24"/>
          <w:szCs w:val="24"/>
          <w:lang w:eastAsia="fr-FR"/>
        </w:rPr>
      </w:pPr>
    </w:p>
    <w:p w14:paraId="2EA3179D" w14:textId="77777777" w:rsidR="009B1C5C" w:rsidRDefault="009B1C5C" w:rsidP="00BA1192">
      <w:pPr>
        <w:spacing w:after="0" w:line="240" w:lineRule="auto"/>
        <w:rPr>
          <w:rFonts w:ascii="Times New Roman" w:eastAsia="Times New Roman" w:hAnsi="Times New Roman" w:cs="Times New Roman"/>
          <w:b/>
          <w:bCs/>
          <w:kern w:val="24"/>
          <w:sz w:val="24"/>
          <w:szCs w:val="24"/>
          <w:lang w:eastAsia="fr-FR"/>
        </w:rPr>
      </w:pPr>
    </w:p>
    <w:p w14:paraId="41CDB6C7" w14:textId="77777777" w:rsidR="009B1C5C" w:rsidRDefault="009B1C5C" w:rsidP="00BA1192">
      <w:pPr>
        <w:spacing w:after="0" w:line="240" w:lineRule="auto"/>
        <w:rPr>
          <w:rFonts w:ascii="Times New Roman" w:eastAsia="Times New Roman" w:hAnsi="Times New Roman" w:cs="Times New Roman"/>
          <w:b/>
          <w:bCs/>
          <w:kern w:val="24"/>
          <w:sz w:val="24"/>
          <w:szCs w:val="24"/>
          <w:lang w:eastAsia="fr-FR"/>
        </w:rPr>
      </w:pPr>
    </w:p>
    <w:p w14:paraId="0BE9DAD8" w14:textId="77777777" w:rsidR="009B1C5C" w:rsidRDefault="009B1C5C" w:rsidP="00BA1192">
      <w:pPr>
        <w:spacing w:after="0" w:line="240" w:lineRule="auto"/>
        <w:rPr>
          <w:rFonts w:ascii="Times New Roman" w:eastAsia="Times New Roman" w:hAnsi="Times New Roman" w:cs="Times New Roman"/>
          <w:b/>
          <w:bCs/>
          <w:kern w:val="24"/>
          <w:sz w:val="24"/>
          <w:szCs w:val="24"/>
          <w:lang w:eastAsia="fr-FR"/>
        </w:rPr>
      </w:pPr>
    </w:p>
    <w:p w14:paraId="257D4F30" w14:textId="77777777" w:rsidR="009B1C5C" w:rsidRPr="00844414" w:rsidRDefault="009B1C5C" w:rsidP="00BA1192">
      <w:pPr>
        <w:spacing w:after="0" w:line="240" w:lineRule="auto"/>
        <w:rPr>
          <w:rFonts w:ascii="Times New Roman" w:eastAsia="Times New Roman" w:hAnsi="Times New Roman" w:cs="Times New Roman"/>
          <w:b/>
          <w:bCs/>
          <w:kern w:val="24"/>
          <w:sz w:val="24"/>
          <w:szCs w:val="24"/>
          <w:lang w:eastAsia="fr-FR"/>
        </w:rPr>
      </w:pPr>
    </w:p>
    <w:p w14:paraId="53539930" w14:textId="77777777" w:rsidR="009B1C5C" w:rsidRDefault="009B1C5C" w:rsidP="00BA1192">
      <w:pPr>
        <w:spacing w:line="240" w:lineRule="auto"/>
        <w:rPr>
          <w:rFonts w:ascii="Times New Roman" w:hAnsi="Times New Roman" w:cs="Times New Roman"/>
          <w:b/>
          <w:sz w:val="24"/>
          <w:szCs w:val="24"/>
        </w:rPr>
      </w:pPr>
    </w:p>
    <w:p w14:paraId="49289B7B" w14:textId="77777777" w:rsidR="000B28C5" w:rsidRDefault="000B28C5" w:rsidP="00BA1192">
      <w:pPr>
        <w:spacing w:line="240" w:lineRule="auto"/>
        <w:rPr>
          <w:rFonts w:ascii="Times New Roman" w:hAnsi="Times New Roman" w:cs="Times New Roman"/>
          <w:b/>
          <w:sz w:val="24"/>
          <w:szCs w:val="24"/>
        </w:rPr>
      </w:pPr>
    </w:p>
    <w:p w14:paraId="35E19DBE" w14:textId="77777777" w:rsidR="000B28C5" w:rsidRDefault="000B28C5" w:rsidP="00BA1192">
      <w:pPr>
        <w:spacing w:line="240" w:lineRule="auto"/>
        <w:rPr>
          <w:rFonts w:ascii="Times New Roman" w:hAnsi="Times New Roman" w:cs="Times New Roman"/>
          <w:b/>
          <w:sz w:val="24"/>
          <w:szCs w:val="24"/>
        </w:rPr>
      </w:pPr>
    </w:p>
    <w:p w14:paraId="2B6D569E" w14:textId="77777777" w:rsidR="000B28C5" w:rsidRDefault="000B28C5" w:rsidP="00BA1192">
      <w:pPr>
        <w:spacing w:line="240" w:lineRule="auto"/>
        <w:rPr>
          <w:rFonts w:ascii="Times New Roman" w:hAnsi="Times New Roman" w:cs="Times New Roman"/>
          <w:b/>
          <w:sz w:val="24"/>
          <w:szCs w:val="24"/>
        </w:rPr>
      </w:pPr>
    </w:p>
    <w:p w14:paraId="1CA0C803" w14:textId="77777777" w:rsidR="000B28C5" w:rsidRDefault="000B28C5" w:rsidP="00BA1192">
      <w:pPr>
        <w:spacing w:line="240" w:lineRule="auto"/>
        <w:rPr>
          <w:rFonts w:ascii="Times New Roman" w:hAnsi="Times New Roman" w:cs="Times New Roman"/>
          <w:b/>
          <w:sz w:val="24"/>
          <w:szCs w:val="24"/>
        </w:rPr>
      </w:pPr>
    </w:p>
    <w:p w14:paraId="5F25E20C" w14:textId="77777777" w:rsidR="000B28C5" w:rsidRDefault="000B28C5" w:rsidP="00BA1192">
      <w:pPr>
        <w:spacing w:line="240" w:lineRule="auto"/>
        <w:rPr>
          <w:rFonts w:ascii="Times New Roman" w:hAnsi="Times New Roman" w:cs="Times New Roman"/>
          <w:b/>
          <w:sz w:val="24"/>
          <w:szCs w:val="24"/>
        </w:rPr>
      </w:pPr>
    </w:p>
    <w:p w14:paraId="4B5DC0B9" w14:textId="77777777" w:rsidR="000B28C5" w:rsidRDefault="000B28C5" w:rsidP="00BA1192">
      <w:pPr>
        <w:spacing w:line="240" w:lineRule="auto"/>
        <w:rPr>
          <w:rFonts w:ascii="Times New Roman" w:hAnsi="Times New Roman" w:cs="Times New Roman"/>
          <w:b/>
          <w:sz w:val="24"/>
          <w:szCs w:val="24"/>
        </w:rPr>
      </w:pPr>
    </w:p>
    <w:p w14:paraId="66B7554B" w14:textId="77777777" w:rsidR="000B28C5" w:rsidRDefault="000B28C5" w:rsidP="00BA1192">
      <w:pPr>
        <w:spacing w:line="240" w:lineRule="auto"/>
        <w:rPr>
          <w:rFonts w:ascii="Times New Roman" w:hAnsi="Times New Roman" w:cs="Times New Roman"/>
          <w:b/>
          <w:sz w:val="24"/>
          <w:szCs w:val="24"/>
        </w:rPr>
      </w:pPr>
    </w:p>
    <w:p w14:paraId="22500127" w14:textId="77777777" w:rsidR="000B28C5" w:rsidRDefault="000B28C5" w:rsidP="00BA1192">
      <w:pPr>
        <w:spacing w:line="240" w:lineRule="auto"/>
        <w:rPr>
          <w:rFonts w:ascii="Times New Roman" w:hAnsi="Times New Roman" w:cs="Times New Roman"/>
          <w:b/>
          <w:sz w:val="24"/>
          <w:szCs w:val="24"/>
        </w:rPr>
      </w:pPr>
    </w:p>
    <w:p w14:paraId="72490603" w14:textId="77777777" w:rsidR="000B28C5" w:rsidRDefault="000B28C5" w:rsidP="00BA1192">
      <w:pPr>
        <w:spacing w:line="240" w:lineRule="auto"/>
        <w:rPr>
          <w:rFonts w:ascii="Times New Roman" w:hAnsi="Times New Roman" w:cs="Times New Roman"/>
          <w:b/>
          <w:sz w:val="24"/>
          <w:szCs w:val="24"/>
        </w:rPr>
      </w:pPr>
    </w:p>
    <w:p w14:paraId="7678A0EA" w14:textId="77777777" w:rsidR="000B28C5" w:rsidRDefault="000B28C5" w:rsidP="00BA1192">
      <w:pPr>
        <w:spacing w:line="240" w:lineRule="auto"/>
        <w:rPr>
          <w:rFonts w:ascii="Times New Roman" w:hAnsi="Times New Roman" w:cs="Times New Roman"/>
          <w:b/>
          <w:sz w:val="24"/>
          <w:szCs w:val="24"/>
        </w:rPr>
      </w:pPr>
    </w:p>
    <w:p w14:paraId="0CC22CB8" w14:textId="77777777" w:rsidR="00197383" w:rsidRPr="009B1C5C" w:rsidRDefault="00844414" w:rsidP="00BA1192">
      <w:pPr>
        <w:spacing w:line="240" w:lineRule="auto"/>
        <w:rPr>
          <w:rFonts w:ascii="Times New Roman" w:hAnsi="Times New Roman" w:cs="Times New Roman"/>
          <w:sz w:val="24"/>
          <w:szCs w:val="24"/>
        </w:rPr>
      </w:pPr>
      <w:r w:rsidRPr="00844414">
        <w:rPr>
          <w:rFonts w:ascii="Times New Roman" w:hAnsi="Times New Roman" w:cs="Times New Roman"/>
          <w:b/>
          <w:sz w:val="24"/>
          <w:szCs w:val="24"/>
        </w:rPr>
        <w:t>Tableau 2 :</w:t>
      </w:r>
      <w:r w:rsidR="000B28C5">
        <w:rPr>
          <w:rFonts w:ascii="Times New Roman" w:hAnsi="Times New Roman" w:cs="Times New Roman"/>
          <w:b/>
          <w:sz w:val="24"/>
          <w:szCs w:val="24"/>
        </w:rPr>
        <w:t xml:space="preserve"> </w:t>
      </w:r>
      <w:r w:rsidR="009B1C5C" w:rsidRPr="009B1C5C">
        <w:rPr>
          <w:rFonts w:ascii="Times New Roman" w:hAnsi="Times New Roman" w:cs="Times New Roman"/>
          <w:sz w:val="24"/>
          <w:szCs w:val="24"/>
        </w:rPr>
        <w:t>Répartition des patients selon la circonstance de survenue de l’agression</w:t>
      </w:r>
    </w:p>
    <w:tbl>
      <w:tblPr>
        <w:tblStyle w:val="Tableausimple21"/>
        <w:tblW w:w="7830" w:type="dxa"/>
        <w:jc w:val="center"/>
        <w:tblLook w:val="06E0" w:firstRow="1" w:lastRow="1" w:firstColumn="1" w:lastColumn="0" w:noHBand="1" w:noVBand="1"/>
      </w:tblPr>
      <w:tblGrid>
        <w:gridCol w:w="3950"/>
        <w:gridCol w:w="3880"/>
      </w:tblGrid>
      <w:tr w:rsidR="00844414" w:rsidRPr="00844414" w14:paraId="0C4FFF62" w14:textId="77777777" w:rsidTr="009B1C5C">
        <w:trPr>
          <w:cnfStyle w:val="100000000000" w:firstRow="1" w:lastRow="0" w:firstColumn="0" w:lastColumn="0" w:oddVBand="0" w:evenVBand="0" w:oddHBand="0"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3950" w:type="dxa"/>
            <w:hideMark/>
          </w:tcPr>
          <w:p w14:paraId="103A3E20" w14:textId="77777777" w:rsidR="00844414" w:rsidRPr="00844414" w:rsidRDefault="009B1C5C" w:rsidP="00BA1192">
            <w:pPr>
              <w:rPr>
                <w:rFonts w:ascii="Times New Roman" w:eastAsia="Times New Roman" w:hAnsi="Times New Roman" w:cs="Times New Roman"/>
                <w:kern w:val="24"/>
                <w:sz w:val="24"/>
                <w:szCs w:val="24"/>
                <w:lang w:eastAsia="fr-FR"/>
              </w:rPr>
            </w:pPr>
            <w:r>
              <w:rPr>
                <w:rFonts w:ascii="Times New Roman" w:eastAsia="Times New Roman" w:hAnsi="Times New Roman" w:cs="Times New Roman"/>
                <w:kern w:val="24"/>
                <w:sz w:val="24"/>
                <w:szCs w:val="24"/>
                <w:lang w:eastAsia="fr-FR"/>
              </w:rPr>
              <w:t>Circonstance</w:t>
            </w:r>
          </w:p>
        </w:tc>
        <w:tc>
          <w:tcPr>
            <w:tcW w:w="3880" w:type="dxa"/>
            <w:hideMark/>
          </w:tcPr>
          <w:p w14:paraId="256E1CB5" w14:textId="77777777" w:rsidR="00844414" w:rsidRPr="00844414" w:rsidRDefault="00844414" w:rsidP="00BA119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Proportion (%, n=359)</w:t>
            </w:r>
          </w:p>
        </w:tc>
      </w:tr>
      <w:tr w:rsidR="00844414" w:rsidRPr="00844414" w14:paraId="3B5CF03C" w14:textId="77777777" w:rsidTr="009B1C5C">
        <w:trPr>
          <w:trHeight w:val="388"/>
          <w:jc w:val="center"/>
        </w:trPr>
        <w:tc>
          <w:tcPr>
            <w:cnfStyle w:val="001000000000" w:firstRow="0" w:lastRow="0" w:firstColumn="1" w:lastColumn="0" w:oddVBand="0" w:evenVBand="0" w:oddHBand="0" w:evenHBand="0" w:firstRowFirstColumn="0" w:firstRowLastColumn="0" w:lastRowFirstColumn="0" w:lastRowLastColumn="0"/>
            <w:tcW w:w="3950" w:type="dxa"/>
            <w:hideMark/>
          </w:tcPr>
          <w:p w14:paraId="74050BD8" w14:textId="77777777" w:rsidR="00844414" w:rsidRPr="00844414" w:rsidRDefault="00844414" w:rsidP="00BA1192">
            <w:pPr>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Bagarre</w:t>
            </w:r>
          </w:p>
        </w:tc>
        <w:tc>
          <w:tcPr>
            <w:tcW w:w="3880" w:type="dxa"/>
            <w:hideMark/>
          </w:tcPr>
          <w:p w14:paraId="00A454FC" w14:textId="77777777" w:rsidR="00844414" w:rsidRPr="00844414" w:rsidRDefault="00844414" w:rsidP="00BA11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52,14</w:t>
            </w:r>
          </w:p>
        </w:tc>
      </w:tr>
      <w:tr w:rsidR="00844414" w:rsidRPr="00844414" w14:paraId="77D781E1" w14:textId="77777777" w:rsidTr="009B1C5C">
        <w:trPr>
          <w:trHeight w:val="388"/>
          <w:jc w:val="center"/>
        </w:trPr>
        <w:tc>
          <w:tcPr>
            <w:cnfStyle w:val="001000000000" w:firstRow="0" w:lastRow="0" w:firstColumn="1" w:lastColumn="0" w:oddVBand="0" w:evenVBand="0" w:oddHBand="0" w:evenHBand="0" w:firstRowFirstColumn="0" w:firstRowLastColumn="0" w:lastRowFirstColumn="0" w:lastRowLastColumn="0"/>
            <w:tcW w:w="3950" w:type="dxa"/>
            <w:hideMark/>
          </w:tcPr>
          <w:p w14:paraId="7778F979" w14:textId="77777777" w:rsidR="00844414" w:rsidRPr="00844414" w:rsidRDefault="00844414" w:rsidP="00BA1192">
            <w:pPr>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Cambriolage</w:t>
            </w:r>
          </w:p>
        </w:tc>
        <w:tc>
          <w:tcPr>
            <w:tcW w:w="3880" w:type="dxa"/>
            <w:hideMark/>
          </w:tcPr>
          <w:p w14:paraId="77078DCA" w14:textId="77777777" w:rsidR="00844414" w:rsidRPr="00844414" w:rsidRDefault="00844414" w:rsidP="00BA11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28,57</w:t>
            </w:r>
          </w:p>
        </w:tc>
      </w:tr>
      <w:tr w:rsidR="00844414" w:rsidRPr="00844414" w14:paraId="6550F736" w14:textId="77777777" w:rsidTr="009B1C5C">
        <w:trPr>
          <w:trHeight w:val="388"/>
          <w:jc w:val="center"/>
        </w:trPr>
        <w:tc>
          <w:tcPr>
            <w:cnfStyle w:val="001000000000" w:firstRow="0" w:lastRow="0" w:firstColumn="1" w:lastColumn="0" w:oddVBand="0" w:evenVBand="0" w:oddHBand="0" w:evenHBand="0" w:firstRowFirstColumn="0" w:firstRowLastColumn="0" w:lastRowFirstColumn="0" w:lastRowLastColumn="0"/>
            <w:tcW w:w="3950" w:type="dxa"/>
            <w:hideMark/>
          </w:tcPr>
          <w:p w14:paraId="219E8C8D" w14:textId="77777777" w:rsidR="00844414" w:rsidRPr="00844414" w:rsidRDefault="00844414" w:rsidP="00BA1192">
            <w:pPr>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Violence conjugale</w:t>
            </w:r>
          </w:p>
        </w:tc>
        <w:tc>
          <w:tcPr>
            <w:tcW w:w="3880" w:type="dxa"/>
            <w:hideMark/>
          </w:tcPr>
          <w:p w14:paraId="5A82C1C8" w14:textId="77777777" w:rsidR="00844414" w:rsidRPr="00844414" w:rsidRDefault="00844414" w:rsidP="00BA11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7,50</w:t>
            </w:r>
          </w:p>
        </w:tc>
      </w:tr>
      <w:tr w:rsidR="00844414" w:rsidRPr="00844414" w14:paraId="393E65F7" w14:textId="77777777" w:rsidTr="009B1C5C">
        <w:trPr>
          <w:trHeight w:val="388"/>
          <w:jc w:val="center"/>
        </w:trPr>
        <w:tc>
          <w:tcPr>
            <w:cnfStyle w:val="001000000000" w:firstRow="0" w:lastRow="0" w:firstColumn="1" w:lastColumn="0" w:oddVBand="0" w:evenVBand="0" w:oddHBand="0" w:evenHBand="0" w:firstRowFirstColumn="0" w:firstRowLastColumn="0" w:lastRowFirstColumn="0" w:lastRowLastColumn="0"/>
            <w:tcW w:w="3950" w:type="dxa"/>
            <w:hideMark/>
          </w:tcPr>
          <w:p w14:paraId="6E28BF7C" w14:textId="77777777" w:rsidR="00844414" w:rsidRPr="00844414" w:rsidRDefault="00844414" w:rsidP="00BA1192">
            <w:pPr>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Violence scolaire</w:t>
            </w:r>
          </w:p>
        </w:tc>
        <w:tc>
          <w:tcPr>
            <w:tcW w:w="3880" w:type="dxa"/>
            <w:hideMark/>
          </w:tcPr>
          <w:p w14:paraId="2C46F554" w14:textId="77777777" w:rsidR="00844414" w:rsidRPr="00844414" w:rsidRDefault="00844414" w:rsidP="00BA11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2,86</w:t>
            </w:r>
          </w:p>
        </w:tc>
      </w:tr>
      <w:tr w:rsidR="00844414" w:rsidRPr="00844414" w14:paraId="79A5EB8E" w14:textId="77777777" w:rsidTr="009B1C5C">
        <w:trPr>
          <w:trHeight w:val="388"/>
          <w:jc w:val="center"/>
        </w:trPr>
        <w:tc>
          <w:tcPr>
            <w:cnfStyle w:val="001000000000" w:firstRow="0" w:lastRow="0" w:firstColumn="1" w:lastColumn="0" w:oddVBand="0" w:evenVBand="0" w:oddHBand="0" w:evenHBand="0" w:firstRowFirstColumn="0" w:firstRowLastColumn="0" w:lastRowFirstColumn="0" w:lastRowLastColumn="0"/>
            <w:tcW w:w="3950" w:type="dxa"/>
            <w:hideMark/>
          </w:tcPr>
          <w:p w14:paraId="29DA9564" w14:textId="77777777" w:rsidR="00844414" w:rsidRPr="00844414" w:rsidRDefault="00844414" w:rsidP="00BA1192">
            <w:pPr>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Violence professionnelle</w:t>
            </w:r>
          </w:p>
        </w:tc>
        <w:tc>
          <w:tcPr>
            <w:tcW w:w="3880" w:type="dxa"/>
            <w:hideMark/>
          </w:tcPr>
          <w:p w14:paraId="41A1DCF1" w14:textId="77777777" w:rsidR="00844414" w:rsidRPr="00844414" w:rsidRDefault="00844414" w:rsidP="00BA11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0,71</w:t>
            </w:r>
          </w:p>
        </w:tc>
      </w:tr>
      <w:tr w:rsidR="00844414" w:rsidRPr="00844414" w14:paraId="52FDD299" w14:textId="77777777" w:rsidTr="009B1C5C">
        <w:trPr>
          <w:trHeight w:val="388"/>
          <w:jc w:val="center"/>
        </w:trPr>
        <w:tc>
          <w:tcPr>
            <w:cnfStyle w:val="001000000000" w:firstRow="0" w:lastRow="0" w:firstColumn="1" w:lastColumn="0" w:oddVBand="0" w:evenVBand="0" w:oddHBand="0" w:evenHBand="0" w:firstRowFirstColumn="0" w:firstRowLastColumn="0" w:lastRowFirstColumn="0" w:lastRowLastColumn="0"/>
            <w:tcW w:w="3950" w:type="dxa"/>
            <w:hideMark/>
          </w:tcPr>
          <w:p w14:paraId="6D4A96E7" w14:textId="77777777" w:rsidR="00844414" w:rsidRPr="00844414" w:rsidRDefault="00844414" w:rsidP="00BA1192">
            <w:pPr>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Non déterminée</w:t>
            </w:r>
          </w:p>
        </w:tc>
        <w:tc>
          <w:tcPr>
            <w:tcW w:w="3880" w:type="dxa"/>
            <w:hideMark/>
          </w:tcPr>
          <w:p w14:paraId="618C008C" w14:textId="77777777" w:rsidR="00844414" w:rsidRPr="00844414" w:rsidRDefault="00844414" w:rsidP="00BA11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7,50</w:t>
            </w:r>
          </w:p>
        </w:tc>
      </w:tr>
      <w:tr w:rsidR="00844414" w:rsidRPr="00844414" w14:paraId="1A7E757F" w14:textId="77777777" w:rsidTr="009B1C5C">
        <w:trPr>
          <w:cnfStyle w:val="010000000000" w:firstRow="0" w:lastRow="1" w:firstColumn="0" w:lastColumn="0" w:oddVBand="0" w:evenVBand="0" w:oddHBand="0"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3950" w:type="dxa"/>
            <w:hideMark/>
          </w:tcPr>
          <w:p w14:paraId="6E852C51" w14:textId="77777777" w:rsidR="00844414" w:rsidRPr="00844414" w:rsidRDefault="00844414" w:rsidP="00BA1192">
            <w:pPr>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 xml:space="preserve">Total </w:t>
            </w:r>
          </w:p>
        </w:tc>
        <w:tc>
          <w:tcPr>
            <w:tcW w:w="3880" w:type="dxa"/>
            <w:hideMark/>
          </w:tcPr>
          <w:p w14:paraId="06021F7B" w14:textId="77777777" w:rsidR="00844414" w:rsidRPr="00844414" w:rsidRDefault="00844414" w:rsidP="00BA1192">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kern w:val="24"/>
                <w:sz w:val="24"/>
                <w:szCs w:val="24"/>
                <w:lang w:eastAsia="fr-FR"/>
              </w:rPr>
            </w:pPr>
            <w:r w:rsidRPr="00844414">
              <w:rPr>
                <w:rFonts w:ascii="Times New Roman" w:eastAsia="Times New Roman" w:hAnsi="Times New Roman" w:cs="Times New Roman"/>
                <w:kern w:val="24"/>
                <w:sz w:val="24"/>
                <w:szCs w:val="24"/>
                <w:lang w:eastAsia="fr-FR"/>
              </w:rPr>
              <w:t>100</w:t>
            </w:r>
          </w:p>
        </w:tc>
      </w:tr>
    </w:tbl>
    <w:p w14:paraId="006E4B61" w14:textId="77777777" w:rsidR="00844414" w:rsidRDefault="00844414" w:rsidP="00BA1192">
      <w:pPr>
        <w:spacing w:line="240" w:lineRule="auto"/>
        <w:rPr>
          <w:rFonts w:ascii="Times New Roman" w:hAnsi="Times New Roman" w:cs="Times New Roman"/>
          <w:sz w:val="24"/>
          <w:szCs w:val="24"/>
        </w:rPr>
      </w:pPr>
    </w:p>
    <w:p w14:paraId="224E6B3B" w14:textId="77777777" w:rsidR="00844414" w:rsidRPr="00844414" w:rsidRDefault="00844414" w:rsidP="00BA1192">
      <w:pPr>
        <w:spacing w:line="240" w:lineRule="auto"/>
        <w:rPr>
          <w:rFonts w:ascii="Times New Roman" w:hAnsi="Times New Roman" w:cs="Times New Roman"/>
          <w:b/>
          <w:sz w:val="24"/>
          <w:szCs w:val="24"/>
        </w:rPr>
      </w:pPr>
      <w:r w:rsidRPr="00844414">
        <w:rPr>
          <w:rFonts w:ascii="Times New Roman" w:hAnsi="Times New Roman" w:cs="Times New Roman"/>
          <w:b/>
          <w:sz w:val="24"/>
          <w:szCs w:val="24"/>
        </w:rPr>
        <w:t>Tableau 3 :</w:t>
      </w:r>
      <w:r w:rsidR="000B28C5">
        <w:rPr>
          <w:rFonts w:ascii="Times New Roman" w:hAnsi="Times New Roman" w:cs="Times New Roman"/>
          <w:b/>
          <w:sz w:val="24"/>
          <w:szCs w:val="24"/>
        </w:rPr>
        <w:t xml:space="preserve"> </w:t>
      </w:r>
      <w:r w:rsidR="009B1C5C" w:rsidRPr="009B1C5C">
        <w:rPr>
          <w:rFonts w:ascii="Times New Roman" w:hAnsi="Times New Roman" w:cs="Times New Roman"/>
          <w:sz w:val="24"/>
          <w:szCs w:val="24"/>
        </w:rPr>
        <w:t>Répartition des patients selon</w:t>
      </w:r>
      <w:r w:rsidR="009B1C5C">
        <w:rPr>
          <w:rFonts w:ascii="Times New Roman" w:hAnsi="Times New Roman" w:cs="Times New Roman"/>
          <w:sz w:val="24"/>
          <w:szCs w:val="24"/>
        </w:rPr>
        <w:t xml:space="preserve"> la nature de l’agent vulnérant</w:t>
      </w:r>
    </w:p>
    <w:tbl>
      <w:tblPr>
        <w:tblStyle w:val="Tableausimple21"/>
        <w:tblW w:w="7514" w:type="dxa"/>
        <w:tblInd w:w="756" w:type="dxa"/>
        <w:tblLook w:val="06E0" w:firstRow="1" w:lastRow="1" w:firstColumn="1" w:lastColumn="0" w:noHBand="1" w:noVBand="1"/>
      </w:tblPr>
      <w:tblGrid>
        <w:gridCol w:w="4904"/>
        <w:gridCol w:w="2610"/>
      </w:tblGrid>
      <w:tr w:rsidR="00844414" w:rsidRPr="00844414" w14:paraId="0A55EDC1" w14:textId="77777777" w:rsidTr="000B28C5">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3574899B"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 xml:space="preserve">Nature de l’agent vulnérant </w:t>
            </w:r>
          </w:p>
        </w:tc>
        <w:tc>
          <w:tcPr>
            <w:tcW w:w="2610" w:type="dxa"/>
            <w:hideMark/>
          </w:tcPr>
          <w:p w14:paraId="52CFD61D" w14:textId="77777777" w:rsidR="00844414" w:rsidRPr="00844414" w:rsidRDefault="00844414" w:rsidP="00BA1192">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sz w:val="24"/>
                <w:szCs w:val="24"/>
              </w:rPr>
              <w:t>Proportion (%, n=359)</w:t>
            </w:r>
          </w:p>
        </w:tc>
      </w:tr>
      <w:tr w:rsidR="00844414" w:rsidRPr="00844414" w14:paraId="5956F661" w14:textId="77777777" w:rsidTr="000B28C5">
        <w:trPr>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1D8EC913"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Bâton</w:t>
            </w:r>
          </w:p>
        </w:tc>
        <w:tc>
          <w:tcPr>
            <w:tcW w:w="2610" w:type="dxa"/>
            <w:hideMark/>
          </w:tcPr>
          <w:p w14:paraId="09C4AE14" w14:textId="77777777" w:rsidR="00844414" w:rsidRPr="00844414" w:rsidRDefault="00844414"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b/>
                <w:bCs/>
                <w:sz w:val="24"/>
                <w:szCs w:val="24"/>
              </w:rPr>
              <w:t>31,07</w:t>
            </w:r>
          </w:p>
        </w:tc>
      </w:tr>
      <w:tr w:rsidR="00844414" w:rsidRPr="00844414" w14:paraId="0F8F3C4B" w14:textId="77777777" w:rsidTr="000B28C5">
        <w:trPr>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7836BB28"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Pierre</w:t>
            </w:r>
          </w:p>
        </w:tc>
        <w:tc>
          <w:tcPr>
            <w:tcW w:w="2610" w:type="dxa"/>
            <w:hideMark/>
          </w:tcPr>
          <w:p w14:paraId="66B6D827" w14:textId="77777777" w:rsidR="00844414" w:rsidRPr="00844414" w:rsidRDefault="00844414"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b/>
                <w:bCs/>
                <w:sz w:val="24"/>
                <w:szCs w:val="24"/>
              </w:rPr>
              <w:t>16,07</w:t>
            </w:r>
          </w:p>
        </w:tc>
      </w:tr>
      <w:tr w:rsidR="00844414" w:rsidRPr="00844414" w14:paraId="592D0F1D" w14:textId="77777777" w:rsidTr="000B28C5">
        <w:trPr>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0508C0D9"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Bouteille</w:t>
            </w:r>
          </w:p>
        </w:tc>
        <w:tc>
          <w:tcPr>
            <w:tcW w:w="2610" w:type="dxa"/>
            <w:hideMark/>
          </w:tcPr>
          <w:p w14:paraId="3BDAEFC4" w14:textId="77777777" w:rsidR="00844414" w:rsidRPr="00844414" w:rsidRDefault="00844414"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b/>
                <w:bCs/>
                <w:sz w:val="24"/>
                <w:szCs w:val="24"/>
              </w:rPr>
              <w:t>5,71</w:t>
            </w:r>
          </w:p>
        </w:tc>
      </w:tr>
      <w:tr w:rsidR="00844414" w:rsidRPr="00844414" w14:paraId="3DC0E821" w14:textId="77777777" w:rsidTr="000B28C5">
        <w:trPr>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30A9AE5E"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Verre</w:t>
            </w:r>
          </w:p>
        </w:tc>
        <w:tc>
          <w:tcPr>
            <w:tcW w:w="2610" w:type="dxa"/>
            <w:hideMark/>
          </w:tcPr>
          <w:p w14:paraId="78931606" w14:textId="77777777" w:rsidR="00844414" w:rsidRPr="00844414" w:rsidRDefault="00844414"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b/>
                <w:bCs/>
                <w:sz w:val="24"/>
                <w:szCs w:val="24"/>
              </w:rPr>
              <w:t>5,71</w:t>
            </w:r>
          </w:p>
        </w:tc>
      </w:tr>
      <w:tr w:rsidR="00844414" w:rsidRPr="00844414" w14:paraId="2552558C" w14:textId="77777777" w:rsidTr="000B28C5">
        <w:trPr>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2C960EE2"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Machette</w:t>
            </w:r>
          </w:p>
        </w:tc>
        <w:tc>
          <w:tcPr>
            <w:tcW w:w="2610" w:type="dxa"/>
            <w:hideMark/>
          </w:tcPr>
          <w:p w14:paraId="13C5C63A" w14:textId="77777777" w:rsidR="00844414" w:rsidRPr="00844414" w:rsidRDefault="00844414"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b/>
                <w:bCs/>
                <w:sz w:val="24"/>
                <w:szCs w:val="24"/>
              </w:rPr>
              <w:t>4,29</w:t>
            </w:r>
          </w:p>
        </w:tc>
      </w:tr>
      <w:tr w:rsidR="00844414" w:rsidRPr="00844414" w14:paraId="7E96C071" w14:textId="77777777" w:rsidTr="000B28C5">
        <w:trPr>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62A8915B"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Marteau</w:t>
            </w:r>
          </w:p>
        </w:tc>
        <w:tc>
          <w:tcPr>
            <w:tcW w:w="2610" w:type="dxa"/>
            <w:hideMark/>
          </w:tcPr>
          <w:p w14:paraId="77DD446B" w14:textId="77777777" w:rsidR="00844414" w:rsidRPr="00844414" w:rsidRDefault="00844414"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b/>
                <w:bCs/>
                <w:sz w:val="24"/>
                <w:szCs w:val="24"/>
              </w:rPr>
              <w:t>3,57</w:t>
            </w:r>
          </w:p>
        </w:tc>
      </w:tr>
      <w:tr w:rsidR="00844414" w:rsidRPr="00844414" w14:paraId="61EBBE0A" w14:textId="77777777" w:rsidTr="000B28C5">
        <w:trPr>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7861ADC0"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Aiguille</w:t>
            </w:r>
          </w:p>
        </w:tc>
        <w:tc>
          <w:tcPr>
            <w:tcW w:w="2610" w:type="dxa"/>
            <w:hideMark/>
          </w:tcPr>
          <w:p w14:paraId="5653A4F2" w14:textId="77777777" w:rsidR="00844414" w:rsidRPr="00844414" w:rsidRDefault="00844414"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b/>
                <w:bCs/>
                <w:sz w:val="24"/>
                <w:szCs w:val="24"/>
              </w:rPr>
              <w:t>0,71</w:t>
            </w:r>
          </w:p>
        </w:tc>
      </w:tr>
      <w:tr w:rsidR="00844414" w:rsidRPr="00844414" w14:paraId="0D9CDDA0" w14:textId="77777777" w:rsidTr="000B28C5">
        <w:trPr>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2BE67594"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Parpaing</w:t>
            </w:r>
          </w:p>
        </w:tc>
        <w:tc>
          <w:tcPr>
            <w:tcW w:w="2610" w:type="dxa"/>
            <w:hideMark/>
          </w:tcPr>
          <w:p w14:paraId="4339707A" w14:textId="77777777" w:rsidR="00844414" w:rsidRPr="00844414" w:rsidRDefault="00844414"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b/>
                <w:bCs/>
                <w:sz w:val="24"/>
                <w:szCs w:val="24"/>
              </w:rPr>
              <w:t>0,36</w:t>
            </w:r>
          </w:p>
        </w:tc>
      </w:tr>
      <w:tr w:rsidR="00844414" w:rsidRPr="00844414" w14:paraId="3AD44D6D" w14:textId="77777777" w:rsidTr="000B28C5">
        <w:trPr>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55EF0CC7"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Pelle</w:t>
            </w:r>
          </w:p>
        </w:tc>
        <w:tc>
          <w:tcPr>
            <w:tcW w:w="2610" w:type="dxa"/>
            <w:hideMark/>
          </w:tcPr>
          <w:p w14:paraId="4ECA1D56" w14:textId="77777777" w:rsidR="00844414" w:rsidRPr="00844414" w:rsidRDefault="00844414"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b/>
                <w:bCs/>
                <w:sz w:val="24"/>
                <w:szCs w:val="24"/>
              </w:rPr>
              <w:t>0,36</w:t>
            </w:r>
          </w:p>
        </w:tc>
      </w:tr>
      <w:tr w:rsidR="00844414" w:rsidRPr="00844414" w14:paraId="5598B5F5" w14:textId="77777777" w:rsidTr="000B28C5">
        <w:trPr>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7DAB18A0"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Hache</w:t>
            </w:r>
          </w:p>
        </w:tc>
        <w:tc>
          <w:tcPr>
            <w:tcW w:w="2610" w:type="dxa"/>
            <w:hideMark/>
          </w:tcPr>
          <w:p w14:paraId="27DC9DA6" w14:textId="77777777" w:rsidR="00844414" w:rsidRPr="00844414" w:rsidRDefault="00844414"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b/>
                <w:bCs/>
                <w:sz w:val="24"/>
                <w:szCs w:val="24"/>
              </w:rPr>
              <w:t>0,36</w:t>
            </w:r>
          </w:p>
        </w:tc>
      </w:tr>
      <w:tr w:rsidR="00844414" w:rsidRPr="00844414" w14:paraId="29A5CFA3" w14:textId="77777777" w:rsidTr="000B28C5">
        <w:trPr>
          <w:trHeight w:val="219"/>
        </w:trPr>
        <w:tc>
          <w:tcPr>
            <w:cnfStyle w:val="001000000000" w:firstRow="0" w:lastRow="0" w:firstColumn="1" w:lastColumn="0" w:oddVBand="0" w:evenVBand="0" w:oddHBand="0" w:evenHBand="0" w:firstRowFirstColumn="0" w:firstRowLastColumn="0" w:lastRowFirstColumn="0" w:lastRowLastColumn="0"/>
            <w:tcW w:w="4904" w:type="dxa"/>
            <w:hideMark/>
          </w:tcPr>
          <w:p w14:paraId="5E894AE0"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Autres (chaise, table, barre de fer, tasse)</w:t>
            </w:r>
          </w:p>
        </w:tc>
        <w:tc>
          <w:tcPr>
            <w:tcW w:w="2610" w:type="dxa"/>
            <w:hideMark/>
          </w:tcPr>
          <w:p w14:paraId="540A492B" w14:textId="77777777" w:rsidR="00844414" w:rsidRPr="00844414" w:rsidRDefault="00844414"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b/>
                <w:bCs/>
                <w:sz w:val="24"/>
                <w:szCs w:val="24"/>
              </w:rPr>
              <w:t>11,07</w:t>
            </w:r>
          </w:p>
        </w:tc>
      </w:tr>
      <w:tr w:rsidR="00844414" w:rsidRPr="00844414" w14:paraId="66410BAC" w14:textId="77777777" w:rsidTr="000B28C5">
        <w:trPr>
          <w:cnfStyle w:val="010000000000" w:firstRow="0" w:lastRow="1"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904" w:type="dxa"/>
            <w:hideMark/>
          </w:tcPr>
          <w:p w14:paraId="591B71F6" w14:textId="77777777" w:rsidR="00844414" w:rsidRPr="00844414" w:rsidRDefault="00844414" w:rsidP="00BA1192">
            <w:pPr>
              <w:spacing w:after="160"/>
              <w:rPr>
                <w:rFonts w:ascii="Times New Roman" w:hAnsi="Times New Roman" w:cs="Times New Roman"/>
                <w:sz w:val="24"/>
                <w:szCs w:val="24"/>
              </w:rPr>
            </w:pPr>
            <w:r w:rsidRPr="00844414">
              <w:rPr>
                <w:rFonts w:ascii="Times New Roman" w:hAnsi="Times New Roman" w:cs="Times New Roman"/>
                <w:sz w:val="24"/>
                <w:szCs w:val="24"/>
              </w:rPr>
              <w:t>Total</w:t>
            </w:r>
          </w:p>
        </w:tc>
        <w:tc>
          <w:tcPr>
            <w:tcW w:w="2610" w:type="dxa"/>
            <w:hideMark/>
          </w:tcPr>
          <w:p w14:paraId="0CEFCABA" w14:textId="77777777" w:rsidR="00844414" w:rsidRPr="00844414" w:rsidRDefault="00844414" w:rsidP="00BA1192">
            <w:pPr>
              <w:spacing w:after="160"/>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4414">
              <w:rPr>
                <w:rFonts w:ascii="Times New Roman" w:hAnsi="Times New Roman" w:cs="Times New Roman"/>
                <w:sz w:val="24"/>
                <w:szCs w:val="24"/>
              </w:rPr>
              <w:t>100</w:t>
            </w:r>
          </w:p>
        </w:tc>
      </w:tr>
    </w:tbl>
    <w:p w14:paraId="6869B7F9" w14:textId="77777777" w:rsidR="00844414" w:rsidRDefault="00844414" w:rsidP="00BA1192">
      <w:pPr>
        <w:spacing w:line="240" w:lineRule="auto"/>
        <w:rPr>
          <w:rFonts w:ascii="Times New Roman" w:hAnsi="Times New Roman" w:cs="Times New Roman"/>
          <w:sz w:val="24"/>
          <w:szCs w:val="24"/>
        </w:rPr>
      </w:pPr>
    </w:p>
    <w:p w14:paraId="3AC3BA47" w14:textId="77777777" w:rsidR="000B28C5" w:rsidRDefault="000B28C5" w:rsidP="00BA1192">
      <w:pPr>
        <w:spacing w:line="240" w:lineRule="auto"/>
        <w:rPr>
          <w:rFonts w:ascii="Times New Roman" w:hAnsi="Times New Roman" w:cs="Times New Roman"/>
          <w:b/>
          <w:color w:val="000000" w:themeColor="text1"/>
          <w:sz w:val="24"/>
          <w:szCs w:val="24"/>
        </w:rPr>
      </w:pPr>
    </w:p>
    <w:p w14:paraId="01CE0213" w14:textId="77777777" w:rsidR="000B28C5" w:rsidRDefault="000B28C5" w:rsidP="00BA1192">
      <w:pPr>
        <w:spacing w:line="240" w:lineRule="auto"/>
        <w:rPr>
          <w:rFonts w:ascii="Times New Roman" w:hAnsi="Times New Roman" w:cs="Times New Roman"/>
          <w:b/>
          <w:color w:val="000000" w:themeColor="text1"/>
          <w:sz w:val="24"/>
          <w:szCs w:val="24"/>
        </w:rPr>
      </w:pPr>
    </w:p>
    <w:p w14:paraId="573242EE" w14:textId="77777777" w:rsidR="000B28C5" w:rsidRDefault="000B28C5" w:rsidP="00BA1192">
      <w:pPr>
        <w:spacing w:line="240" w:lineRule="auto"/>
        <w:rPr>
          <w:rFonts w:ascii="Times New Roman" w:hAnsi="Times New Roman" w:cs="Times New Roman"/>
          <w:b/>
          <w:color w:val="000000" w:themeColor="text1"/>
          <w:sz w:val="24"/>
          <w:szCs w:val="24"/>
        </w:rPr>
      </w:pPr>
    </w:p>
    <w:p w14:paraId="3E3E8EDD" w14:textId="77777777" w:rsidR="000B28C5" w:rsidRDefault="000B28C5" w:rsidP="00BA1192">
      <w:pPr>
        <w:spacing w:line="240" w:lineRule="auto"/>
        <w:rPr>
          <w:rFonts w:ascii="Times New Roman" w:hAnsi="Times New Roman" w:cs="Times New Roman"/>
          <w:b/>
          <w:color w:val="000000" w:themeColor="text1"/>
          <w:sz w:val="24"/>
          <w:szCs w:val="24"/>
        </w:rPr>
      </w:pPr>
    </w:p>
    <w:p w14:paraId="00FB7C12" w14:textId="77777777" w:rsidR="000B28C5" w:rsidRDefault="000B28C5" w:rsidP="00BA1192">
      <w:pPr>
        <w:spacing w:line="240" w:lineRule="auto"/>
        <w:rPr>
          <w:rFonts w:ascii="Times New Roman" w:hAnsi="Times New Roman" w:cs="Times New Roman"/>
          <w:b/>
          <w:color w:val="000000" w:themeColor="text1"/>
          <w:sz w:val="24"/>
          <w:szCs w:val="24"/>
        </w:rPr>
      </w:pPr>
    </w:p>
    <w:p w14:paraId="4AD37277" w14:textId="77777777" w:rsidR="000B28C5" w:rsidRDefault="000B28C5" w:rsidP="00BA1192">
      <w:pPr>
        <w:spacing w:line="240" w:lineRule="auto"/>
        <w:rPr>
          <w:rFonts w:ascii="Times New Roman" w:hAnsi="Times New Roman" w:cs="Times New Roman"/>
          <w:b/>
          <w:color w:val="000000" w:themeColor="text1"/>
          <w:sz w:val="24"/>
          <w:szCs w:val="24"/>
        </w:rPr>
      </w:pPr>
    </w:p>
    <w:p w14:paraId="2CDB145A" w14:textId="77777777" w:rsidR="00844414" w:rsidRPr="00F90571" w:rsidRDefault="00844414" w:rsidP="00BA1192">
      <w:pPr>
        <w:spacing w:line="240" w:lineRule="auto"/>
        <w:rPr>
          <w:rFonts w:ascii="Times New Roman" w:hAnsi="Times New Roman" w:cs="Times New Roman"/>
          <w:b/>
          <w:color w:val="000000" w:themeColor="text1"/>
          <w:sz w:val="24"/>
          <w:szCs w:val="24"/>
        </w:rPr>
      </w:pPr>
      <w:r w:rsidRPr="00F90571">
        <w:rPr>
          <w:rFonts w:ascii="Times New Roman" w:hAnsi="Times New Roman" w:cs="Times New Roman"/>
          <w:b/>
          <w:color w:val="000000" w:themeColor="text1"/>
          <w:sz w:val="24"/>
          <w:szCs w:val="24"/>
        </w:rPr>
        <w:t>Tableau 4 :</w:t>
      </w:r>
      <w:r w:rsidR="002B7E61">
        <w:rPr>
          <w:rFonts w:ascii="Times New Roman" w:hAnsi="Times New Roman" w:cs="Times New Roman"/>
          <w:b/>
          <w:color w:val="000000" w:themeColor="text1"/>
          <w:sz w:val="24"/>
          <w:szCs w:val="24"/>
        </w:rPr>
        <w:t xml:space="preserve"> </w:t>
      </w:r>
      <w:r w:rsidR="009B1C5C" w:rsidRPr="009B1C5C">
        <w:rPr>
          <w:rFonts w:ascii="Times New Roman" w:hAnsi="Times New Roman" w:cs="Times New Roman"/>
          <w:sz w:val="24"/>
          <w:szCs w:val="24"/>
        </w:rPr>
        <w:t>Répartition des patients selon</w:t>
      </w:r>
      <w:r w:rsidR="009B1C5C">
        <w:rPr>
          <w:rFonts w:ascii="Times New Roman" w:hAnsi="Times New Roman" w:cs="Times New Roman"/>
          <w:sz w:val="24"/>
          <w:szCs w:val="24"/>
        </w:rPr>
        <w:t xml:space="preserve"> le type de fractures crâniennes</w:t>
      </w:r>
    </w:p>
    <w:tbl>
      <w:tblPr>
        <w:tblStyle w:val="Tableausimple21"/>
        <w:tblW w:w="7638" w:type="dxa"/>
        <w:tblInd w:w="726" w:type="dxa"/>
        <w:tblLook w:val="06E0" w:firstRow="1" w:lastRow="1" w:firstColumn="1" w:lastColumn="0" w:noHBand="1" w:noVBand="1"/>
      </w:tblPr>
      <w:tblGrid>
        <w:gridCol w:w="3819"/>
        <w:gridCol w:w="3819"/>
      </w:tblGrid>
      <w:tr w:rsidR="00F90571" w:rsidRPr="00F90571" w14:paraId="7C2E5585" w14:textId="77777777" w:rsidTr="002B7E61">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819" w:type="dxa"/>
            <w:hideMark/>
          </w:tcPr>
          <w:p w14:paraId="6BA88CD2"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lastRenderedPageBreak/>
              <w:t>Type de fracture</w:t>
            </w:r>
          </w:p>
        </w:tc>
        <w:tc>
          <w:tcPr>
            <w:tcW w:w="3819" w:type="dxa"/>
            <w:hideMark/>
          </w:tcPr>
          <w:p w14:paraId="3C2F431C" w14:textId="77777777" w:rsidR="00F90571" w:rsidRPr="00F90571" w:rsidRDefault="005005CA" w:rsidP="00BA1192">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Proportion (%, n=16</w:t>
            </w:r>
            <w:r w:rsidR="00F90571" w:rsidRPr="00F90571">
              <w:rPr>
                <w:rFonts w:ascii="Times New Roman" w:hAnsi="Times New Roman" w:cs="Times New Roman"/>
                <w:sz w:val="24"/>
                <w:szCs w:val="24"/>
              </w:rPr>
              <w:t>9)</w:t>
            </w:r>
          </w:p>
        </w:tc>
      </w:tr>
      <w:tr w:rsidR="00F90571" w:rsidRPr="00F90571" w14:paraId="6E45DDE6" w14:textId="77777777" w:rsidTr="002B7E61">
        <w:trPr>
          <w:trHeight w:val="354"/>
        </w:trPr>
        <w:tc>
          <w:tcPr>
            <w:cnfStyle w:val="001000000000" w:firstRow="0" w:lastRow="0" w:firstColumn="1" w:lastColumn="0" w:oddVBand="0" w:evenVBand="0" w:oddHBand="0" w:evenHBand="0" w:firstRowFirstColumn="0" w:firstRowLastColumn="0" w:lastRowFirstColumn="0" w:lastRowLastColumn="0"/>
            <w:tcW w:w="3819" w:type="dxa"/>
            <w:hideMark/>
          </w:tcPr>
          <w:p w14:paraId="1893D30B"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Linéaire</w:t>
            </w:r>
          </w:p>
        </w:tc>
        <w:tc>
          <w:tcPr>
            <w:tcW w:w="3819" w:type="dxa"/>
            <w:hideMark/>
          </w:tcPr>
          <w:p w14:paraId="7A140D0E" w14:textId="77777777" w:rsidR="00F90571" w:rsidRPr="00F90571" w:rsidRDefault="00F90571"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571">
              <w:rPr>
                <w:rFonts w:ascii="Times New Roman" w:hAnsi="Times New Roman" w:cs="Times New Roman"/>
                <w:sz w:val="24"/>
                <w:szCs w:val="24"/>
              </w:rPr>
              <w:t>43,14</w:t>
            </w:r>
          </w:p>
        </w:tc>
      </w:tr>
      <w:tr w:rsidR="00F90571" w:rsidRPr="00F90571" w14:paraId="30966A21" w14:textId="77777777" w:rsidTr="002B7E61">
        <w:trPr>
          <w:trHeight w:val="354"/>
        </w:trPr>
        <w:tc>
          <w:tcPr>
            <w:cnfStyle w:val="001000000000" w:firstRow="0" w:lastRow="0" w:firstColumn="1" w:lastColumn="0" w:oddVBand="0" w:evenVBand="0" w:oddHBand="0" w:evenHBand="0" w:firstRowFirstColumn="0" w:firstRowLastColumn="0" w:lastRowFirstColumn="0" w:lastRowLastColumn="0"/>
            <w:tcW w:w="3819" w:type="dxa"/>
            <w:hideMark/>
          </w:tcPr>
          <w:p w14:paraId="095EBEAA"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Embarrure</w:t>
            </w:r>
          </w:p>
        </w:tc>
        <w:tc>
          <w:tcPr>
            <w:tcW w:w="3819" w:type="dxa"/>
            <w:hideMark/>
          </w:tcPr>
          <w:p w14:paraId="12C527D9" w14:textId="77777777" w:rsidR="00F90571" w:rsidRPr="00F90571" w:rsidRDefault="00F90571"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571">
              <w:rPr>
                <w:rFonts w:ascii="Times New Roman" w:hAnsi="Times New Roman" w:cs="Times New Roman"/>
                <w:sz w:val="24"/>
                <w:szCs w:val="24"/>
              </w:rPr>
              <w:t>43,14</w:t>
            </w:r>
          </w:p>
        </w:tc>
      </w:tr>
      <w:tr w:rsidR="00F90571" w:rsidRPr="00F90571" w14:paraId="00F06699" w14:textId="77777777" w:rsidTr="002B7E61">
        <w:trPr>
          <w:trHeight w:val="354"/>
        </w:trPr>
        <w:tc>
          <w:tcPr>
            <w:cnfStyle w:val="001000000000" w:firstRow="0" w:lastRow="0" w:firstColumn="1" w:lastColumn="0" w:oddVBand="0" w:evenVBand="0" w:oddHBand="0" w:evenHBand="0" w:firstRowFirstColumn="0" w:firstRowLastColumn="0" w:lastRowFirstColumn="0" w:lastRowLastColumn="0"/>
            <w:tcW w:w="3819" w:type="dxa"/>
            <w:hideMark/>
          </w:tcPr>
          <w:p w14:paraId="1572339B"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Comminutive</w:t>
            </w:r>
          </w:p>
        </w:tc>
        <w:tc>
          <w:tcPr>
            <w:tcW w:w="3819" w:type="dxa"/>
            <w:hideMark/>
          </w:tcPr>
          <w:p w14:paraId="59327CF3" w14:textId="77777777" w:rsidR="00F90571" w:rsidRPr="00F90571" w:rsidRDefault="00F90571"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571">
              <w:rPr>
                <w:rFonts w:ascii="Times New Roman" w:hAnsi="Times New Roman" w:cs="Times New Roman"/>
                <w:sz w:val="24"/>
                <w:szCs w:val="24"/>
              </w:rPr>
              <w:t>7,84</w:t>
            </w:r>
          </w:p>
        </w:tc>
      </w:tr>
      <w:tr w:rsidR="00F90571" w:rsidRPr="00F90571" w14:paraId="679E4484" w14:textId="77777777" w:rsidTr="002B7E61">
        <w:trPr>
          <w:trHeight w:val="354"/>
        </w:trPr>
        <w:tc>
          <w:tcPr>
            <w:cnfStyle w:val="001000000000" w:firstRow="0" w:lastRow="0" w:firstColumn="1" w:lastColumn="0" w:oddVBand="0" w:evenVBand="0" w:oddHBand="0" w:evenHBand="0" w:firstRowFirstColumn="0" w:firstRowLastColumn="0" w:lastRowFirstColumn="0" w:lastRowLastColumn="0"/>
            <w:tcW w:w="3819" w:type="dxa"/>
            <w:hideMark/>
          </w:tcPr>
          <w:p w14:paraId="219CB9C6"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Diastasique</w:t>
            </w:r>
          </w:p>
        </w:tc>
        <w:tc>
          <w:tcPr>
            <w:tcW w:w="3819" w:type="dxa"/>
            <w:hideMark/>
          </w:tcPr>
          <w:p w14:paraId="148FB1A2" w14:textId="77777777" w:rsidR="00F90571" w:rsidRPr="00F90571" w:rsidRDefault="00F90571" w:rsidP="00BA1192">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571">
              <w:rPr>
                <w:rFonts w:ascii="Times New Roman" w:hAnsi="Times New Roman" w:cs="Times New Roman"/>
                <w:sz w:val="24"/>
                <w:szCs w:val="24"/>
              </w:rPr>
              <w:t>5,88</w:t>
            </w:r>
          </w:p>
        </w:tc>
      </w:tr>
      <w:tr w:rsidR="00F90571" w:rsidRPr="00F90571" w14:paraId="028DF094" w14:textId="77777777" w:rsidTr="002B7E61">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819" w:type="dxa"/>
            <w:hideMark/>
          </w:tcPr>
          <w:p w14:paraId="3DB7680A"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Total</w:t>
            </w:r>
          </w:p>
        </w:tc>
        <w:tc>
          <w:tcPr>
            <w:tcW w:w="3819" w:type="dxa"/>
            <w:hideMark/>
          </w:tcPr>
          <w:p w14:paraId="401F0EF7" w14:textId="77777777" w:rsidR="00F90571" w:rsidRPr="00F90571" w:rsidRDefault="00F90571" w:rsidP="00BA1192">
            <w:pPr>
              <w:spacing w:after="160"/>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571">
              <w:rPr>
                <w:rFonts w:ascii="Times New Roman" w:hAnsi="Times New Roman" w:cs="Times New Roman"/>
                <w:sz w:val="24"/>
                <w:szCs w:val="24"/>
              </w:rPr>
              <w:t>100</w:t>
            </w:r>
          </w:p>
        </w:tc>
      </w:tr>
    </w:tbl>
    <w:p w14:paraId="1A52FEE3" w14:textId="77777777" w:rsidR="00844414" w:rsidRDefault="00844414" w:rsidP="00BA1192">
      <w:pPr>
        <w:spacing w:line="240" w:lineRule="auto"/>
        <w:rPr>
          <w:rFonts w:ascii="Times New Roman" w:hAnsi="Times New Roman" w:cs="Times New Roman"/>
          <w:sz w:val="24"/>
          <w:szCs w:val="24"/>
        </w:rPr>
      </w:pPr>
    </w:p>
    <w:p w14:paraId="7D0908E1" w14:textId="77777777" w:rsidR="00844414" w:rsidRPr="00F90571" w:rsidRDefault="00844414" w:rsidP="00BA1192">
      <w:pPr>
        <w:spacing w:line="240" w:lineRule="auto"/>
        <w:rPr>
          <w:rFonts w:ascii="Times New Roman" w:hAnsi="Times New Roman" w:cs="Times New Roman"/>
          <w:b/>
          <w:sz w:val="24"/>
          <w:szCs w:val="24"/>
        </w:rPr>
      </w:pPr>
      <w:r w:rsidRPr="00F90571">
        <w:rPr>
          <w:rFonts w:ascii="Times New Roman" w:hAnsi="Times New Roman" w:cs="Times New Roman"/>
          <w:b/>
          <w:sz w:val="24"/>
          <w:szCs w:val="24"/>
        </w:rPr>
        <w:t>Tableau 5 :</w:t>
      </w:r>
      <w:r w:rsidR="002B7E61">
        <w:rPr>
          <w:rFonts w:ascii="Times New Roman" w:hAnsi="Times New Roman" w:cs="Times New Roman"/>
          <w:b/>
          <w:sz w:val="24"/>
          <w:szCs w:val="24"/>
        </w:rPr>
        <w:t xml:space="preserve"> </w:t>
      </w:r>
      <w:r w:rsidR="009B1C5C" w:rsidRPr="009B1C5C">
        <w:rPr>
          <w:rFonts w:ascii="Times New Roman" w:hAnsi="Times New Roman" w:cs="Times New Roman"/>
          <w:sz w:val="24"/>
          <w:szCs w:val="24"/>
        </w:rPr>
        <w:t>Répartition des patients selon</w:t>
      </w:r>
      <w:r w:rsidR="009B1C5C">
        <w:rPr>
          <w:rFonts w:ascii="Times New Roman" w:hAnsi="Times New Roman" w:cs="Times New Roman"/>
          <w:sz w:val="24"/>
          <w:szCs w:val="24"/>
        </w:rPr>
        <w:t xml:space="preserve"> le type de lésions intracrâniennes</w:t>
      </w:r>
    </w:p>
    <w:tbl>
      <w:tblPr>
        <w:tblStyle w:val="TableauListe6Couleur1"/>
        <w:tblW w:w="8250" w:type="dxa"/>
        <w:tblInd w:w="708" w:type="dxa"/>
        <w:tblLook w:val="0420" w:firstRow="1" w:lastRow="0" w:firstColumn="0" w:lastColumn="0" w:noHBand="0" w:noVBand="1"/>
      </w:tblPr>
      <w:tblGrid>
        <w:gridCol w:w="5617"/>
        <w:gridCol w:w="2633"/>
      </w:tblGrid>
      <w:tr w:rsidR="00F90571" w:rsidRPr="00F90571" w14:paraId="075B1338" w14:textId="77777777" w:rsidTr="002B7E61">
        <w:trPr>
          <w:cnfStyle w:val="100000000000" w:firstRow="1" w:lastRow="0" w:firstColumn="0" w:lastColumn="0" w:oddVBand="0" w:evenVBand="0" w:oddHBand="0" w:evenHBand="0" w:firstRowFirstColumn="0" w:firstRowLastColumn="0" w:lastRowFirstColumn="0" w:lastRowLastColumn="0"/>
          <w:trHeight w:val="274"/>
        </w:trPr>
        <w:tc>
          <w:tcPr>
            <w:tcW w:w="5617" w:type="dxa"/>
            <w:shd w:val="clear" w:color="auto" w:fill="auto"/>
            <w:hideMark/>
          </w:tcPr>
          <w:p w14:paraId="5EA69C58"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Lésions intracrâniennes</w:t>
            </w:r>
          </w:p>
        </w:tc>
        <w:tc>
          <w:tcPr>
            <w:tcW w:w="2633" w:type="dxa"/>
            <w:shd w:val="clear" w:color="auto" w:fill="auto"/>
            <w:hideMark/>
          </w:tcPr>
          <w:p w14:paraId="38C8B882" w14:textId="77777777" w:rsidR="00F90571" w:rsidRPr="00F90571" w:rsidRDefault="005005CA" w:rsidP="00BA1192">
            <w:pPr>
              <w:spacing w:after="160"/>
              <w:rPr>
                <w:rFonts w:ascii="Times New Roman" w:hAnsi="Times New Roman" w:cs="Times New Roman"/>
                <w:sz w:val="24"/>
                <w:szCs w:val="24"/>
              </w:rPr>
            </w:pPr>
            <w:r>
              <w:rPr>
                <w:rFonts w:ascii="Times New Roman" w:hAnsi="Times New Roman" w:cs="Times New Roman"/>
                <w:sz w:val="24"/>
                <w:szCs w:val="24"/>
              </w:rPr>
              <w:t>Proportion (%, n=172</w:t>
            </w:r>
            <w:r w:rsidR="00F90571" w:rsidRPr="00F90571">
              <w:rPr>
                <w:rFonts w:ascii="Times New Roman" w:hAnsi="Times New Roman" w:cs="Times New Roman"/>
                <w:sz w:val="24"/>
                <w:szCs w:val="24"/>
              </w:rPr>
              <w:t>)</w:t>
            </w:r>
          </w:p>
        </w:tc>
      </w:tr>
      <w:tr w:rsidR="00F90571" w:rsidRPr="00F90571" w14:paraId="35554EFB" w14:textId="77777777" w:rsidTr="002B7E61">
        <w:trPr>
          <w:cnfStyle w:val="000000100000" w:firstRow="0" w:lastRow="0" w:firstColumn="0" w:lastColumn="0" w:oddVBand="0" w:evenVBand="0" w:oddHBand="1" w:evenHBand="0" w:firstRowFirstColumn="0" w:firstRowLastColumn="0" w:lastRowFirstColumn="0" w:lastRowLastColumn="0"/>
          <w:trHeight w:val="286"/>
        </w:trPr>
        <w:tc>
          <w:tcPr>
            <w:tcW w:w="5617" w:type="dxa"/>
            <w:shd w:val="clear" w:color="auto" w:fill="auto"/>
            <w:hideMark/>
          </w:tcPr>
          <w:p w14:paraId="4BFD0377"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b/>
                <w:bCs/>
                <w:sz w:val="24"/>
                <w:szCs w:val="24"/>
              </w:rPr>
              <w:t>Hématomes</w:t>
            </w:r>
            <w:r w:rsidR="009B1C5C">
              <w:rPr>
                <w:rFonts w:ascii="Times New Roman" w:hAnsi="Times New Roman" w:cs="Times New Roman"/>
                <w:b/>
                <w:bCs/>
                <w:sz w:val="24"/>
                <w:szCs w:val="24"/>
              </w:rPr>
              <w:t xml:space="preserve"> intracrâniens</w:t>
            </w:r>
          </w:p>
        </w:tc>
        <w:tc>
          <w:tcPr>
            <w:tcW w:w="2633" w:type="dxa"/>
            <w:shd w:val="clear" w:color="auto" w:fill="auto"/>
            <w:hideMark/>
          </w:tcPr>
          <w:p w14:paraId="447AC7F1"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29,54</w:t>
            </w:r>
          </w:p>
        </w:tc>
      </w:tr>
      <w:tr w:rsidR="00F90571" w:rsidRPr="00F90571" w14:paraId="0F36499F" w14:textId="77777777" w:rsidTr="002B7E61">
        <w:trPr>
          <w:trHeight w:val="286"/>
        </w:trPr>
        <w:tc>
          <w:tcPr>
            <w:tcW w:w="5617" w:type="dxa"/>
            <w:shd w:val="clear" w:color="auto" w:fill="auto"/>
            <w:hideMark/>
          </w:tcPr>
          <w:p w14:paraId="24C3B246"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b/>
                <w:bCs/>
                <w:sz w:val="24"/>
                <w:szCs w:val="24"/>
              </w:rPr>
              <w:t xml:space="preserve">Contusions </w:t>
            </w:r>
            <w:proofErr w:type="spellStart"/>
            <w:r w:rsidRPr="00F90571">
              <w:rPr>
                <w:rFonts w:ascii="Times New Roman" w:hAnsi="Times New Roman" w:cs="Times New Roman"/>
                <w:b/>
                <w:bCs/>
                <w:sz w:val="24"/>
                <w:szCs w:val="24"/>
              </w:rPr>
              <w:t>œdémato</w:t>
            </w:r>
            <w:proofErr w:type="spellEnd"/>
            <w:r w:rsidRPr="00F90571">
              <w:rPr>
                <w:rFonts w:ascii="Times New Roman" w:hAnsi="Times New Roman" w:cs="Times New Roman"/>
                <w:b/>
                <w:bCs/>
                <w:sz w:val="24"/>
                <w:szCs w:val="24"/>
              </w:rPr>
              <w:t>-hémorragiques</w:t>
            </w:r>
          </w:p>
        </w:tc>
        <w:tc>
          <w:tcPr>
            <w:tcW w:w="2633" w:type="dxa"/>
            <w:shd w:val="clear" w:color="auto" w:fill="auto"/>
            <w:hideMark/>
          </w:tcPr>
          <w:p w14:paraId="029AFF06"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19,23</w:t>
            </w:r>
          </w:p>
        </w:tc>
      </w:tr>
      <w:tr w:rsidR="00F90571" w:rsidRPr="00F90571" w14:paraId="1E1C5642" w14:textId="77777777" w:rsidTr="002B7E61">
        <w:trPr>
          <w:cnfStyle w:val="000000100000" w:firstRow="0" w:lastRow="0" w:firstColumn="0" w:lastColumn="0" w:oddVBand="0" w:evenVBand="0" w:oddHBand="1" w:evenHBand="0" w:firstRowFirstColumn="0" w:firstRowLastColumn="0" w:lastRowFirstColumn="0" w:lastRowLastColumn="0"/>
          <w:trHeight w:val="346"/>
        </w:trPr>
        <w:tc>
          <w:tcPr>
            <w:tcW w:w="5617" w:type="dxa"/>
            <w:shd w:val="clear" w:color="auto" w:fill="auto"/>
            <w:hideMark/>
          </w:tcPr>
          <w:p w14:paraId="30B31455"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b/>
                <w:bCs/>
                <w:sz w:val="24"/>
                <w:szCs w:val="24"/>
              </w:rPr>
              <w:t xml:space="preserve">Hémorragie sous arachnoïdienne </w:t>
            </w:r>
          </w:p>
        </w:tc>
        <w:tc>
          <w:tcPr>
            <w:tcW w:w="2633" w:type="dxa"/>
            <w:shd w:val="clear" w:color="auto" w:fill="auto"/>
            <w:hideMark/>
          </w:tcPr>
          <w:p w14:paraId="611FDADE"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17,12</w:t>
            </w:r>
          </w:p>
        </w:tc>
      </w:tr>
      <w:tr w:rsidR="00F90571" w:rsidRPr="00F90571" w14:paraId="3C9795A8" w14:textId="77777777" w:rsidTr="002B7E61">
        <w:trPr>
          <w:trHeight w:val="261"/>
        </w:trPr>
        <w:tc>
          <w:tcPr>
            <w:tcW w:w="5617" w:type="dxa"/>
            <w:shd w:val="clear" w:color="auto" w:fill="auto"/>
            <w:hideMark/>
          </w:tcPr>
          <w:p w14:paraId="4025F320"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b/>
                <w:bCs/>
                <w:sz w:val="24"/>
                <w:szCs w:val="24"/>
              </w:rPr>
              <w:t xml:space="preserve">Plaie </w:t>
            </w:r>
            <w:proofErr w:type="spellStart"/>
            <w:r w:rsidRPr="00F90571">
              <w:rPr>
                <w:rFonts w:ascii="Times New Roman" w:hAnsi="Times New Roman" w:cs="Times New Roman"/>
                <w:b/>
                <w:bCs/>
                <w:sz w:val="24"/>
                <w:szCs w:val="24"/>
              </w:rPr>
              <w:t>crânio</w:t>
            </w:r>
            <w:proofErr w:type="spellEnd"/>
            <w:r w:rsidRPr="00F90571">
              <w:rPr>
                <w:rFonts w:ascii="Times New Roman" w:hAnsi="Times New Roman" w:cs="Times New Roman"/>
                <w:b/>
                <w:bCs/>
                <w:sz w:val="24"/>
                <w:szCs w:val="24"/>
              </w:rPr>
              <w:t>-cérébrale</w:t>
            </w:r>
          </w:p>
        </w:tc>
        <w:tc>
          <w:tcPr>
            <w:tcW w:w="2633" w:type="dxa"/>
            <w:shd w:val="clear" w:color="auto" w:fill="auto"/>
            <w:hideMark/>
          </w:tcPr>
          <w:p w14:paraId="0AECE19A"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12,45</w:t>
            </w:r>
          </w:p>
        </w:tc>
      </w:tr>
      <w:tr w:rsidR="00F90571" w:rsidRPr="00F90571" w14:paraId="102B4059" w14:textId="77777777" w:rsidTr="002B7E61">
        <w:trPr>
          <w:cnfStyle w:val="000000100000" w:firstRow="0" w:lastRow="0" w:firstColumn="0" w:lastColumn="0" w:oddVBand="0" w:evenVBand="0" w:oddHBand="1" w:evenHBand="0" w:firstRowFirstColumn="0" w:firstRowLastColumn="0" w:lastRowFirstColumn="0" w:lastRowLastColumn="0"/>
          <w:trHeight w:val="271"/>
        </w:trPr>
        <w:tc>
          <w:tcPr>
            <w:tcW w:w="5617" w:type="dxa"/>
            <w:shd w:val="clear" w:color="auto" w:fill="auto"/>
            <w:hideMark/>
          </w:tcPr>
          <w:p w14:paraId="1E55172A"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b/>
                <w:bCs/>
                <w:sz w:val="24"/>
                <w:szCs w:val="24"/>
              </w:rPr>
              <w:t xml:space="preserve">Brèche </w:t>
            </w:r>
            <w:proofErr w:type="spellStart"/>
            <w:r w:rsidRPr="00F90571">
              <w:rPr>
                <w:rFonts w:ascii="Times New Roman" w:hAnsi="Times New Roman" w:cs="Times New Roman"/>
                <w:b/>
                <w:bCs/>
                <w:sz w:val="24"/>
                <w:szCs w:val="24"/>
              </w:rPr>
              <w:t>ostéo-méningée</w:t>
            </w:r>
            <w:proofErr w:type="spellEnd"/>
            <w:r w:rsidRPr="00F90571">
              <w:rPr>
                <w:rFonts w:ascii="Times New Roman" w:hAnsi="Times New Roman" w:cs="Times New Roman"/>
                <w:b/>
                <w:bCs/>
                <w:sz w:val="24"/>
                <w:szCs w:val="24"/>
              </w:rPr>
              <w:t xml:space="preserve"> avec </w:t>
            </w:r>
            <w:proofErr w:type="spellStart"/>
            <w:r w:rsidRPr="00F90571">
              <w:rPr>
                <w:rFonts w:ascii="Times New Roman" w:hAnsi="Times New Roman" w:cs="Times New Roman"/>
                <w:b/>
                <w:bCs/>
                <w:sz w:val="24"/>
                <w:szCs w:val="24"/>
              </w:rPr>
              <w:t>pneumencéphalie</w:t>
            </w:r>
            <w:proofErr w:type="spellEnd"/>
          </w:p>
        </w:tc>
        <w:tc>
          <w:tcPr>
            <w:tcW w:w="2633" w:type="dxa"/>
            <w:shd w:val="clear" w:color="auto" w:fill="auto"/>
            <w:hideMark/>
          </w:tcPr>
          <w:p w14:paraId="41666486"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5,53</w:t>
            </w:r>
          </w:p>
        </w:tc>
      </w:tr>
      <w:tr w:rsidR="00F90571" w:rsidRPr="00F90571" w14:paraId="22F75A52" w14:textId="77777777" w:rsidTr="002B7E61">
        <w:trPr>
          <w:trHeight w:val="207"/>
        </w:trPr>
        <w:tc>
          <w:tcPr>
            <w:tcW w:w="5617" w:type="dxa"/>
            <w:shd w:val="clear" w:color="auto" w:fill="auto"/>
            <w:hideMark/>
          </w:tcPr>
          <w:p w14:paraId="66505DBD"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b/>
                <w:bCs/>
                <w:sz w:val="24"/>
                <w:szCs w:val="24"/>
              </w:rPr>
              <w:t>Aucune lésion intracrânienne</w:t>
            </w:r>
          </w:p>
        </w:tc>
        <w:tc>
          <w:tcPr>
            <w:tcW w:w="2633" w:type="dxa"/>
            <w:shd w:val="clear" w:color="auto" w:fill="auto"/>
            <w:hideMark/>
          </w:tcPr>
          <w:p w14:paraId="3428F979" w14:textId="77777777" w:rsidR="00F90571" w:rsidRPr="00F90571" w:rsidRDefault="00F90571" w:rsidP="00BA1192">
            <w:pPr>
              <w:spacing w:after="160"/>
              <w:rPr>
                <w:rFonts w:ascii="Times New Roman" w:hAnsi="Times New Roman" w:cs="Times New Roman"/>
                <w:sz w:val="24"/>
                <w:szCs w:val="24"/>
              </w:rPr>
            </w:pPr>
            <w:r w:rsidRPr="00F90571">
              <w:rPr>
                <w:rFonts w:ascii="Times New Roman" w:hAnsi="Times New Roman" w:cs="Times New Roman"/>
                <w:sz w:val="24"/>
                <w:szCs w:val="24"/>
              </w:rPr>
              <w:t>16,13</w:t>
            </w:r>
          </w:p>
        </w:tc>
      </w:tr>
      <w:tr w:rsidR="009B1C5C" w:rsidRPr="00F90571" w14:paraId="7FD7D2C0" w14:textId="77777777" w:rsidTr="002B7E61">
        <w:trPr>
          <w:cnfStyle w:val="000000100000" w:firstRow="0" w:lastRow="0" w:firstColumn="0" w:lastColumn="0" w:oddVBand="0" w:evenVBand="0" w:oddHBand="1" w:evenHBand="0" w:firstRowFirstColumn="0" w:firstRowLastColumn="0" w:lastRowFirstColumn="0" w:lastRowLastColumn="0"/>
          <w:trHeight w:val="207"/>
        </w:trPr>
        <w:tc>
          <w:tcPr>
            <w:tcW w:w="5617" w:type="dxa"/>
            <w:shd w:val="clear" w:color="auto" w:fill="auto"/>
          </w:tcPr>
          <w:p w14:paraId="0650BA95" w14:textId="77777777" w:rsidR="009B1C5C" w:rsidRPr="00F90571" w:rsidRDefault="009B1C5C" w:rsidP="00BA1192">
            <w:pPr>
              <w:rPr>
                <w:rFonts w:ascii="Times New Roman" w:hAnsi="Times New Roman" w:cs="Times New Roman"/>
                <w:b/>
                <w:bCs/>
                <w:sz w:val="24"/>
                <w:szCs w:val="24"/>
              </w:rPr>
            </w:pPr>
            <w:r>
              <w:rPr>
                <w:rFonts w:ascii="Times New Roman" w:hAnsi="Times New Roman" w:cs="Times New Roman"/>
                <w:b/>
                <w:bCs/>
                <w:sz w:val="24"/>
                <w:szCs w:val="24"/>
              </w:rPr>
              <w:t>Total</w:t>
            </w:r>
          </w:p>
        </w:tc>
        <w:tc>
          <w:tcPr>
            <w:tcW w:w="2633" w:type="dxa"/>
            <w:shd w:val="clear" w:color="auto" w:fill="auto"/>
          </w:tcPr>
          <w:p w14:paraId="6212A1D8" w14:textId="77777777" w:rsidR="009B1C5C" w:rsidRPr="00F90571" w:rsidRDefault="00C97E1F" w:rsidP="00BA1192">
            <w:pPr>
              <w:rPr>
                <w:rFonts w:ascii="Times New Roman" w:hAnsi="Times New Roman" w:cs="Times New Roman"/>
                <w:sz w:val="24"/>
                <w:szCs w:val="24"/>
              </w:rPr>
            </w:pPr>
            <w:r>
              <w:rPr>
                <w:rFonts w:ascii="Times New Roman" w:hAnsi="Times New Roman" w:cs="Times New Roman"/>
                <w:sz w:val="24"/>
                <w:szCs w:val="24"/>
              </w:rPr>
              <w:t>100</w:t>
            </w:r>
          </w:p>
        </w:tc>
      </w:tr>
    </w:tbl>
    <w:p w14:paraId="15BD168D" w14:textId="77777777" w:rsidR="00844414" w:rsidRPr="00844414" w:rsidRDefault="00844414" w:rsidP="00BA1192">
      <w:pPr>
        <w:spacing w:line="240" w:lineRule="auto"/>
        <w:rPr>
          <w:rFonts w:ascii="Times New Roman" w:hAnsi="Times New Roman" w:cs="Times New Roman"/>
          <w:sz w:val="24"/>
          <w:szCs w:val="24"/>
        </w:rPr>
      </w:pPr>
    </w:p>
    <w:sectPr w:rsidR="00844414" w:rsidRPr="00844414" w:rsidSect="00F1674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79C70" w14:textId="77777777" w:rsidR="00FB42A3" w:rsidRDefault="00FB42A3" w:rsidP="00587555">
      <w:pPr>
        <w:spacing w:after="0" w:line="240" w:lineRule="auto"/>
      </w:pPr>
      <w:r>
        <w:separator/>
      </w:r>
    </w:p>
  </w:endnote>
  <w:endnote w:type="continuationSeparator" w:id="0">
    <w:p w14:paraId="6AB40A46" w14:textId="77777777" w:rsidR="00FB42A3" w:rsidRDefault="00FB42A3" w:rsidP="00587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DF2D6" w14:textId="77777777" w:rsidR="00FB42A3" w:rsidRDefault="00FB42A3" w:rsidP="00587555">
      <w:pPr>
        <w:spacing w:after="0" w:line="240" w:lineRule="auto"/>
      </w:pPr>
      <w:r>
        <w:separator/>
      </w:r>
    </w:p>
  </w:footnote>
  <w:footnote w:type="continuationSeparator" w:id="0">
    <w:p w14:paraId="00E23D2E" w14:textId="77777777" w:rsidR="00FB42A3" w:rsidRDefault="00FB42A3" w:rsidP="00587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D814" w14:textId="7FEBE566" w:rsidR="00BB4D6A" w:rsidRDefault="00BB4D6A">
    <w:pPr>
      <w:pStyle w:val="En-tte"/>
    </w:pPr>
    <w:r w:rsidRPr="00A32BF7">
      <w:rPr>
        <w:i/>
      </w:rPr>
      <w:ptab w:relativeTo="margin" w:alignment="center" w:leader="none"/>
    </w:r>
    <w:r w:rsidRPr="00A32BF7">
      <w:rPr>
        <w:i/>
      </w:rPr>
      <w:t>Head and Neck Journal of Madagascar</w:t>
    </w:r>
    <w:r>
      <w:t>.</w:t>
    </w:r>
    <w:r w:rsidR="007640E5">
      <w:t xml:space="preserve"> 2025 ; 6 : 609 - 16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65470"/>
    <w:multiLevelType w:val="multilevel"/>
    <w:tmpl w:val="BE5A1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810527D"/>
    <w:multiLevelType w:val="hybridMultilevel"/>
    <w:tmpl w:val="2C704C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F082A7C"/>
    <w:multiLevelType w:val="multilevel"/>
    <w:tmpl w:val="BE5A1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0C1509"/>
    <w:multiLevelType w:val="hybridMultilevel"/>
    <w:tmpl w:val="4FBC39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F6C3893"/>
    <w:multiLevelType w:val="hybridMultilevel"/>
    <w:tmpl w:val="45227A40"/>
    <w:lvl w:ilvl="0" w:tplc="80526AB6">
      <w:start w:val="1"/>
      <w:numFmt w:val="decimal"/>
      <w:lvlText w:val="%1."/>
      <w:lvlJc w:val="left"/>
      <w:pPr>
        <w:tabs>
          <w:tab w:val="num" w:pos="720"/>
        </w:tabs>
        <w:ind w:left="720" w:hanging="360"/>
      </w:pPr>
    </w:lvl>
    <w:lvl w:ilvl="1" w:tplc="6A14DFD4" w:tentative="1">
      <w:start w:val="1"/>
      <w:numFmt w:val="decimal"/>
      <w:lvlText w:val="%2."/>
      <w:lvlJc w:val="left"/>
      <w:pPr>
        <w:tabs>
          <w:tab w:val="num" w:pos="1440"/>
        </w:tabs>
        <w:ind w:left="1440" w:hanging="360"/>
      </w:pPr>
    </w:lvl>
    <w:lvl w:ilvl="2" w:tplc="79BA3322" w:tentative="1">
      <w:start w:val="1"/>
      <w:numFmt w:val="decimal"/>
      <w:lvlText w:val="%3."/>
      <w:lvlJc w:val="left"/>
      <w:pPr>
        <w:tabs>
          <w:tab w:val="num" w:pos="2160"/>
        </w:tabs>
        <w:ind w:left="2160" w:hanging="360"/>
      </w:pPr>
    </w:lvl>
    <w:lvl w:ilvl="3" w:tplc="0F603C50" w:tentative="1">
      <w:start w:val="1"/>
      <w:numFmt w:val="decimal"/>
      <w:lvlText w:val="%4."/>
      <w:lvlJc w:val="left"/>
      <w:pPr>
        <w:tabs>
          <w:tab w:val="num" w:pos="2880"/>
        </w:tabs>
        <w:ind w:left="2880" w:hanging="360"/>
      </w:pPr>
    </w:lvl>
    <w:lvl w:ilvl="4" w:tplc="42004CF8" w:tentative="1">
      <w:start w:val="1"/>
      <w:numFmt w:val="decimal"/>
      <w:lvlText w:val="%5."/>
      <w:lvlJc w:val="left"/>
      <w:pPr>
        <w:tabs>
          <w:tab w:val="num" w:pos="3600"/>
        </w:tabs>
        <w:ind w:left="3600" w:hanging="360"/>
      </w:pPr>
    </w:lvl>
    <w:lvl w:ilvl="5" w:tplc="31C82A26" w:tentative="1">
      <w:start w:val="1"/>
      <w:numFmt w:val="decimal"/>
      <w:lvlText w:val="%6."/>
      <w:lvlJc w:val="left"/>
      <w:pPr>
        <w:tabs>
          <w:tab w:val="num" w:pos="4320"/>
        </w:tabs>
        <w:ind w:left="4320" w:hanging="360"/>
      </w:pPr>
    </w:lvl>
    <w:lvl w:ilvl="6" w:tplc="442CAD2E" w:tentative="1">
      <w:start w:val="1"/>
      <w:numFmt w:val="decimal"/>
      <w:lvlText w:val="%7."/>
      <w:lvlJc w:val="left"/>
      <w:pPr>
        <w:tabs>
          <w:tab w:val="num" w:pos="5040"/>
        </w:tabs>
        <w:ind w:left="5040" w:hanging="360"/>
      </w:pPr>
    </w:lvl>
    <w:lvl w:ilvl="7" w:tplc="3E64E612" w:tentative="1">
      <w:start w:val="1"/>
      <w:numFmt w:val="decimal"/>
      <w:lvlText w:val="%8."/>
      <w:lvlJc w:val="left"/>
      <w:pPr>
        <w:tabs>
          <w:tab w:val="num" w:pos="5760"/>
        </w:tabs>
        <w:ind w:left="5760" w:hanging="360"/>
      </w:pPr>
    </w:lvl>
    <w:lvl w:ilvl="8" w:tplc="CBC60EF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0C15"/>
    <w:rsid w:val="00003A51"/>
    <w:rsid w:val="00006493"/>
    <w:rsid w:val="00010AAA"/>
    <w:rsid w:val="00036917"/>
    <w:rsid w:val="000411F4"/>
    <w:rsid w:val="00042860"/>
    <w:rsid w:val="00045A79"/>
    <w:rsid w:val="00053861"/>
    <w:rsid w:val="00081081"/>
    <w:rsid w:val="00090875"/>
    <w:rsid w:val="00095D46"/>
    <w:rsid w:val="000A1488"/>
    <w:rsid w:val="000A3774"/>
    <w:rsid w:val="000A46E6"/>
    <w:rsid w:val="000B28C5"/>
    <w:rsid w:val="000B33E8"/>
    <w:rsid w:val="000C3ED3"/>
    <w:rsid w:val="000D6EF8"/>
    <w:rsid w:val="000D78FD"/>
    <w:rsid w:val="000E0C15"/>
    <w:rsid w:val="000E5139"/>
    <w:rsid w:val="000F5621"/>
    <w:rsid w:val="000F77DF"/>
    <w:rsid w:val="000F78FC"/>
    <w:rsid w:val="0010479C"/>
    <w:rsid w:val="001060C6"/>
    <w:rsid w:val="0011116F"/>
    <w:rsid w:val="00117B70"/>
    <w:rsid w:val="00123585"/>
    <w:rsid w:val="00156374"/>
    <w:rsid w:val="00197383"/>
    <w:rsid w:val="001B05FF"/>
    <w:rsid w:val="001B4B52"/>
    <w:rsid w:val="001D08C3"/>
    <w:rsid w:val="001E569B"/>
    <w:rsid w:val="001E6A3C"/>
    <w:rsid w:val="001F687C"/>
    <w:rsid w:val="00213806"/>
    <w:rsid w:val="00217267"/>
    <w:rsid w:val="0023321D"/>
    <w:rsid w:val="002348E1"/>
    <w:rsid w:val="00242F4A"/>
    <w:rsid w:val="002438FC"/>
    <w:rsid w:val="0025520B"/>
    <w:rsid w:val="00276075"/>
    <w:rsid w:val="00293EC9"/>
    <w:rsid w:val="002940C0"/>
    <w:rsid w:val="00296FEF"/>
    <w:rsid w:val="002A4205"/>
    <w:rsid w:val="002B7E61"/>
    <w:rsid w:val="002F390E"/>
    <w:rsid w:val="002F6887"/>
    <w:rsid w:val="0030068A"/>
    <w:rsid w:val="0030608B"/>
    <w:rsid w:val="0030781D"/>
    <w:rsid w:val="003106BB"/>
    <w:rsid w:val="0033363E"/>
    <w:rsid w:val="00340CDF"/>
    <w:rsid w:val="0035619D"/>
    <w:rsid w:val="003618D4"/>
    <w:rsid w:val="003830ED"/>
    <w:rsid w:val="003D333A"/>
    <w:rsid w:val="00403F7A"/>
    <w:rsid w:val="00412C51"/>
    <w:rsid w:val="00422EF1"/>
    <w:rsid w:val="00427565"/>
    <w:rsid w:val="00427B3A"/>
    <w:rsid w:val="00436CA6"/>
    <w:rsid w:val="00471A88"/>
    <w:rsid w:val="00486937"/>
    <w:rsid w:val="004A63A5"/>
    <w:rsid w:val="004B7BE8"/>
    <w:rsid w:val="004D324F"/>
    <w:rsid w:val="005005CA"/>
    <w:rsid w:val="00502851"/>
    <w:rsid w:val="00511EAB"/>
    <w:rsid w:val="00514F94"/>
    <w:rsid w:val="0052792C"/>
    <w:rsid w:val="005376F7"/>
    <w:rsid w:val="00541DE3"/>
    <w:rsid w:val="0058190D"/>
    <w:rsid w:val="00587555"/>
    <w:rsid w:val="00597AAB"/>
    <w:rsid w:val="005B6D13"/>
    <w:rsid w:val="005B7B58"/>
    <w:rsid w:val="005C532E"/>
    <w:rsid w:val="005F796A"/>
    <w:rsid w:val="006334F4"/>
    <w:rsid w:val="00655190"/>
    <w:rsid w:val="0065597F"/>
    <w:rsid w:val="00682118"/>
    <w:rsid w:val="006932E1"/>
    <w:rsid w:val="0069613A"/>
    <w:rsid w:val="006A02D2"/>
    <w:rsid w:val="006A0648"/>
    <w:rsid w:val="006A4750"/>
    <w:rsid w:val="006C4C7F"/>
    <w:rsid w:val="006D1449"/>
    <w:rsid w:val="006D5E07"/>
    <w:rsid w:val="00707B12"/>
    <w:rsid w:val="007158F5"/>
    <w:rsid w:val="007163EC"/>
    <w:rsid w:val="00724BB6"/>
    <w:rsid w:val="00726628"/>
    <w:rsid w:val="00751F0D"/>
    <w:rsid w:val="00757BEE"/>
    <w:rsid w:val="007640E5"/>
    <w:rsid w:val="00772D56"/>
    <w:rsid w:val="00773BC1"/>
    <w:rsid w:val="007825FE"/>
    <w:rsid w:val="007A50E6"/>
    <w:rsid w:val="007C27E2"/>
    <w:rsid w:val="007C77E2"/>
    <w:rsid w:val="007E1BA6"/>
    <w:rsid w:val="00814FCD"/>
    <w:rsid w:val="008230A1"/>
    <w:rsid w:val="00844414"/>
    <w:rsid w:val="00853954"/>
    <w:rsid w:val="00863F3C"/>
    <w:rsid w:val="00864A69"/>
    <w:rsid w:val="008A2804"/>
    <w:rsid w:val="008C04B3"/>
    <w:rsid w:val="00925112"/>
    <w:rsid w:val="00925F36"/>
    <w:rsid w:val="00926FF7"/>
    <w:rsid w:val="00941A6F"/>
    <w:rsid w:val="00973F73"/>
    <w:rsid w:val="00980772"/>
    <w:rsid w:val="009828F3"/>
    <w:rsid w:val="009B1C5C"/>
    <w:rsid w:val="009C4C5C"/>
    <w:rsid w:val="009C71BF"/>
    <w:rsid w:val="009D6F27"/>
    <w:rsid w:val="00A11B76"/>
    <w:rsid w:val="00A22C87"/>
    <w:rsid w:val="00A36A0A"/>
    <w:rsid w:val="00A450F2"/>
    <w:rsid w:val="00A517D4"/>
    <w:rsid w:val="00A65A01"/>
    <w:rsid w:val="00A82515"/>
    <w:rsid w:val="00A8316F"/>
    <w:rsid w:val="00A85DF4"/>
    <w:rsid w:val="00AA21EB"/>
    <w:rsid w:val="00AA7179"/>
    <w:rsid w:val="00AB53C3"/>
    <w:rsid w:val="00AC3256"/>
    <w:rsid w:val="00AE29FB"/>
    <w:rsid w:val="00AF4343"/>
    <w:rsid w:val="00B07598"/>
    <w:rsid w:val="00B50C70"/>
    <w:rsid w:val="00B54FEB"/>
    <w:rsid w:val="00B80E35"/>
    <w:rsid w:val="00B913D3"/>
    <w:rsid w:val="00B92DE2"/>
    <w:rsid w:val="00BA1192"/>
    <w:rsid w:val="00BB4957"/>
    <w:rsid w:val="00BB4D6A"/>
    <w:rsid w:val="00BD7895"/>
    <w:rsid w:val="00BE3746"/>
    <w:rsid w:val="00C21184"/>
    <w:rsid w:val="00C2745F"/>
    <w:rsid w:val="00C40A61"/>
    <w:rsid w:val="00C4608A"/>
    <w:rsid w:val="00C649C3"/>
    <w:rsid w:val="00C84B63"/>
    <w:rsid w:val="00C97E1F"/>
    <w:rsid w:val="00CA3018"/>
    <w:rsid w:val="00CE2B04"/>
    <w:rsid w:val="00CE4B9E"/>
    <w:rsid w:val="00D05A6C"/>
    <w:rsid w:val="00D10F6F"/>
    <w:rsid w:val="00D13A59"/>
    <w:rsid w:val="00D20C79"/>
    <w:rsid w:val="00D53B11"/>
    <w:rsid w:val="00D76360"/>
    <w:rsid w:val="00D83999"/>
    <w:rsid w:val="00D83F7C"/>
    <w:rsid w:val="00D920DF"/>
    <w:rsid w:val="00DB0BD1"/>
    <w:rsid w:val="00DB36B0"/>
    <w:rsid w:val="00DD1E5B"/>
    <w:rsid w:val="00DD347D"/>
    <w:rsid w:val="00DF777F"/>
    <w:rsid w:val="00E1200B"/>
    <w:rsid w:val="00E315E3"/>
    <w:rsid w:val="00E5290F"/>
    <w:rsid w:val="00E53A18"/>
    <w:rsid w:val="00E6265B"/>
    <w:rsid w:val="00E626CF"/>
    <w:rsid w:val="00E63532"/>
    <w:rsid w:val="00E65DD6"/>
    <w:rsid w:val="00E74B81"/>
    <w:rsid w:val="00EB042B"/>
    <w:rsid w:val="00EB4330"/>
    <w:rsid w:val="00ED059E"/>
    <w:rsid w:val="00ED473E"/>
    <w:rsid w:val="00EE4CC1"/>
    <w:rsid w:val="00F01641"/>
    <w:rsid w:val="00F14B75"/>
    <w:rsid w:val="00F16747"/>
    <w:rsid w:val="00F51084"/>
    <w:rsid w:val="00F53D1F"/>
    <w:rsid w:val="00F57C8E"/>
    <w:rsid w:val="00F61A66"/>
    <w:rsid w:val="00F74476"/>
    <w:rsid w:val="00F84625"/>
    <w:rsid w:val="00F90571"/>
    <w:rsid w:val="00FA674C"/>
    <w:rsid w:val="00FB42A3"/>
    <w:rsid w:val="00FD0EB4"/>
    <w:rsid w:val="00FD5C99"/>
    <w:rsid w:val="00FE669C"/>
    <w:rsid w:val="00FF18A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28"/>
        <o:r id="V:Rule2" type="connector" idref="#_x0000_s1029"/>
        <o:r id="V:Rule3" type="connector" idref="#_x0000_s1030"/>
        <o:r id="V:Rule4" type="connector" idref="#_x0000_s1034"/>
        <o:r id="V:Rule5" type="connector" idref="#_x0000_s1031"/>
        <o:r id="V:Rule6" type="connector" idref="#_x0000_s1032"/>
        <o:r id="V:Rule7" type="connector" idref="#_x0000_s1033"/>
      </o:rules>
    </o:shapelayout>
  </w:shapeDefaults>
  <w:decimalSymbol w:val=","/>
  <w:listSeparator w:val=";"/>
  <w14:docId w14:val="71FF19CA"/>
  <w15:docId w15:val="{E17698F5-8DA8-4EFB-B517-DC8347A2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12"/>
  </w:style>
  <w:style w:type="paragraph" w:styleId="Titre1">
    <w:name w:val="heading 1"/>
    <w:basedOn w:val="Normal"/>
    <w:next w:val="Normal"/>
    <w:link w:val="Titre1Car"/>
    <w:uiPriority w:val="9"/>
    <w:qFormat/>
    <w:rsid w:val="00AC32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422E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F688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2F68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422EF1"/>
    <w:rPr>
      <w:rFonts w:asciiTheme="majorHAnsi" w:eastAsiaTheme="majorEastAsia" w:hAnsiTheme="majorHAnsi" w:cstheme="majorBidi"/>
      <w:color w:val="1F4D78" w:themeColor="accent1" w:themeShade="7F"/>
      <w:sz w:val="24"/>
      <w:szCs w:val="24"/>
    </w:rPr>
  </w:style>
  <w:style w:type="paragraph" w:styleId="Bibliographie">
    <w:name w:val="Bibliography"/>
    <w:basedOn w:val="Normal"/>
    <w:next w:val="Normal"/>
    <w:uiPriority w:val="37"/>
    <w:unhideWhenUsed/>
    <w:rsid w:val="001D08C3"/>
  </w:style>
  <w:style w:type="character" w:customStyle="1" w:styleId="Titre4Car">
    <w:name w:val="Titre 4 Car"/>
    <w:basedOn w:val="Policepardfaut"/>
    <w:link w:val="Titre4"/>
    <w:uiPriority w:val="9"/>
    <w:semiHidden/>
    <w:rsid w:val="002F6887"/>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2F6887"/>
    <w:rPr>
      <w:rFonts w:asciiTheme="majorHAnsi" w:eastAsiaTheme="majorEastAsia" w:hAnsiTheme="majorHAnsi" w:cstheme="majorBidi"/>
      <w:color w:val="2E74B5" w:themeColor="accent1" w:themeShade="BF"/>
    </w:rPr>
  </w:style>
  <w:style w:type="character" w:styleId="Marquedecommentaire">
    <w:name w:val="annotation reference"/>
    <w:basedOn w:val="Policepardfaut"/>
    <w:uiPriority w:val="99"/>
    <w:semiHidden/>
    <w:unhideWhenUsed/>
    <w:rsid w:val="00B54FEB"/>
    <w:rPr>
      <w:sz w:val="16"/>
      <w:szCs w:val="16"/>
    </w:rPr>
  </w:style>
  <w:style w:type="paragraph" w:styleId="Commentaire">
    <w:name w:val="annotation text"/>
    <w:basedOn w:val="Normal"/>
    <w:link w:val="CommentaireCar"/>
    <w:uiPriority w:val="99"/>
    <w:semiHidden/>
    <w:unhideWhenUsed/>
    <w:rsid w:val="00B54FEB"/>
    <w:pPr>
      <w:spacing w:line="240" w:lineRule="auto"/>
    </w:pPr>
    <w:rPr>
      <w:sz w:val="20"/>
      <w:szCs w:val="20"/>
    </w:rPr>
  </w:style>
  <w:style w:type="character" w:customStyle="1" w:styleId="CommentaireCar">
    <w:name w:val="Commentaire Car"/>
    <w:basedOn w:val="Policepardfaut"/>
    <w:link w:val="Commentaire"/>
    <w:uiPriority w:val="99"/>
    <w:semiHidden/>
    <w:rsid w:val="00B54FEB"/>
    <w:rPr>
      <w:sz w:val="20"/>
      <w:szCs w:val="20"/>
    </w:rPr>
  </w:style>
  <w:style w:type="paragraph" w:styleId="Objetducommentaire">
    <w:name w:val="annotation subject"/>
    <w:basedOn w:val="Commentaire"/>
    <w:next w:val="Commentaire"/>
    <w:link w:val="ObjetducommentaireCar"/>
    <w:uiPriority w:val="99"/>
    <w:semiHidden/>
    <w:unhideWhenUsed/>
    <w:rsid w:val="00B54FEB"/>
    <w:rPr>
      <w:b/>
      <w:bCs/>
    </w:rPr>
  </w:style>
  <w:style w:type="character" w:customStyle="1" w:styleId="ObjetducommentaireCar">
    <w:name w:val="Objet du commentaire Car"/>
    <w:basedOn w:val="CommentaireCar"/>
    <w:link w:val="Objetducommentaire"/>
    <w:uiPriority w:val="99"/>
    <w:semiHidden/>
    <w:rsid w:val="00B54FEB"/>
    <w:rPr>
      <w:b/>
      <w:bCs/>
      <w:sz w:val="20"/>
      <w:szCs w:val="20"/>
    </w:rPr>
  </w:style>
  <w:style w:type="paragraph" w:styleId="Textedebulles">
    <w:name w:val="Balloon Text"/>
    <w:basedOn w:val="Normal"/>
    <w:link w:val="TextedebullesCar"/>
    <w:uiPriority w:val="99"/>
    <w:semiHidden/>
    <w:unhideWhenUsed/>
    <w:rsid w:val="00B54F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4FEB"/>
    <w:rPr>
      <w:rFonts w:ascii="Segoe UI" w:hAnsi="Segoe UI" w:cs="Segoe UI"/>
      <w:sz w:val="18"/>
      <w:szCs w:val="18"/>
    </w:rPr>
  </w:style>
  <w:style w:type="paragraph" w:styleId="Paragraphedeliste">
    <w:name w:val="List Paragraph"/>
    <w:basedOn w:val="Normal"/>
    <w:uiPriority w:val="34"/>
    <w:qFormat/>
    <w:rsid w:val="00DB36B0"/>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B36B0"/>
    <w:rPr>
      <w:color w:val="0563C1" w:themeColor="hyperlink"/>
      <w:u w:val="single"/>
    </w:rPr>
  </w:style>
  <w:style w:type="paragraph" w:styleId="Sansinterligne">
    <w:name w:val="No Spacing"/>
    <w:link w:val="SansinterligneCar"/>
    <w:uiPriority w:val="1"/>
    <w:qFormat/>
    <w:rsid w:val="006334F4"/>
    <w:pPr>
      <w:spacing w:after="0" w:line="240" w:lineRule="auto"/>
    </w:pPr>
  </w:style>
  <w:style w:type="character" w:customStyle="1" w:styleId="SansinterligneCar">
    <w:name w:val="Sans interligne Car"/>
    <w:basedOn w:val="Policepardfaut"/>
    <w:link w:val="Sansinterligne"/>
    <w:uiPriority w:val="1"/>
    <w:rsid w:val="006334F4"/>
  </w:style>
  <w:style w:type="paragraph" w:styleId="NormalWeb">
    <w:name w:val="Normal (Web)"/>
    <w:basedOn w:val="Normal"/>
    <w:uiPriority w:val="99"/>
    <w:semiHidden/>
    <w:unhideWhenUsed/>
    <w:rsid w:val="00BB495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auListe6Couleur1">
    <w:name w:val="Tableau Liste 6 Couleur1"/>
    <w:basedOn w:val="TableauNormal"/>
    <w:uiPriority w:val="51"/>
    <w:rsid w:val="00BB495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simple21">
    <w:name w:val="Tableau simple 21"/>
    <w:basedOn w:val="TableauNormal"/>
    <w:uiPriority w:val="42"/>
    <w:rsid w:val="008444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1Car">
    <w:name w:val="Titre 1 Car"/>
    <w:basedOn w:val="Policepardfaut"/>
    <w:link w:val="Titre1"/>
    <w:uiPriority w:val="9"/>
    <w:rsid w:val="00AC3256"/>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BB4D6A"/>
    <w:pPr>
      <w:tabs>
        <w:tab w:val="center" w:pos="4536"/>
        <w:tab w:val="right" w:pos="9072"/>
      </w:tabs>
      <w:spacing w:after="0" w:line="240" w:lineRule="auto"/>
    </w:pPr>
  </w:style>
  <w:style w:type="character" w:customStyle="1" w:styleId="En-tteCar">
    <w:name w:val="En-tête Car"/>
    <w:basedOn w:val="Policepardfaut"/>
    <w:link w:val="En-tte"/>
    <w:uiPriority w:val="99"/>
    <w:rsid w:val="00BB4D6A"/>
  </w:style>
  <w:style w:type="paragraph" w:styleId="Pieddepage">
    <w:name w:val="footer"/>
    <w:basedOn w:val="Normal"/>
    <w:link w:val="PieddepageCar"/>
    <w:uiPriority w:val="99"/>
    <w:unhideWhenUsed/>
    <w:rsid w:val="00BB4D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4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99967">
      <w:bodyDiv w:val="1"/>
      <w:marLeft w:val="0"/>
      <w:marRight w:val="0"/>
      <w:marTop w:val="0"/>
      <w:marBottom w:val="0"/>
      <w:divBdr>
        <w:top w:val="none" w:sz="0" w:space="0" w:color="auto"/>
        <w:left w:val="none" w:sz="0" w:space="0" w:color="auto"/>
        <w:bottom w:val="none" w:sz="0" w:space="0" w:color="auto"/>
        <w:right w:val="none" w:sz="0" w:space="0" w:color="auto"/>
      </w:divBdr>
    </w:div>
    <w:div w:id="196085510">
      <w:bodyDiv w:val="1"/>
      <w:marLeft w:val="0"/>
      <w:marRight w:val="0"/>
      <w:marTop w:val="0"/>
      <w:marBottom w:val="0"/>
      <w:divBdr>
        <w:top w:val="none" w:sz="0" w:space="0" w:color="auto"/>
        <w:left w:val="none" w:sz="0" w:space="0" w:color="auto"/>
        <w:bottom w:val="none" w:sz="0" w:space="0" w:color="auto"/>
        <w:right w:val="none" w:sz="0" w:space="0" w:color="auto"/>
      </w:divBdr>
      <w:divsChild>
        <w:div w:id="190074255">
          <w:marLeft w:val="274"/>
          <w:marRight w:val="0"/>
          <w:marTop w:val="150"/>
          <w:marBottom w:val="0"/>
          <w:divBdr>
            <w:top w:val="none" w:sz="0" w:space="0" w:color="auto"/>
            <w:left w:val="none" w:sz="0" w:space="0" w:color="auto"/>
            <w:bottom w:val="none" w:sz="0" w:space="0" w:color="auto"/>
            <w:right w:val="none" w:sz="0" w:space="0" w:color="auto"/>
          </w:divBdr>
        </w:div>
      </w:divsChild>
    </w:div>
    <w:div w:id="318508336">
      <w:bodyDiv w:val="1"/>
      <w:marLeft w:val="0"/>
      <w:marRight w:val="0"/>
      <w:marTop w:val="0"/>
      <w:marBottom w:val="0"/>
      <w:divBdr>
        <w:top w:val="none" w:sz="0" w:space="0" w:color="auto"/>
        <w:left w:val="none" w:sz="0" w:space="0" w:color="auto"/>
        <w:bottom w:val="none" w:sz="0" w:space="0" w:color="auto"/>
        <w:right w:val="none" w:sz="0" w:space="0" w:color="auto"/>
      </w:divBdr>
    </w:div>
    <w:div w:id="382800251">
      <w:bodyDiv w:val="1"/>
      <w:marLeft w:val="0"/>
      <w:marRight w:val="0"/>
      <w:marTop w:val="0"/>
      <w:marBottom w:val="0"/>
      <w:divBdr>
        <w:top w:val="none" w:sz="0" w:space="0" w:color="auto"/>
        <w:left w:val="none" w:sz="0" w:space="0" w:color="auto"/>
        <w:bottom w:val="none" w:sz="0" w:space="0" w:color="auto"/>
        <w:right w:val="none" w:sz="0" w:space="0" w:color="auto"/>
      </w:divBdr>
    </w:div>
    <w:div w:id="575287887">
      <w:bodyDiv w:val="1"/>
      <w:marLeft w:val="0"/>
      <w:marRight w:val="0"/>
      <w:marTop w:val="0"/>
      <w:marBottom w:val="0"/>
      <w:divBdr>
        <w:top w:val="none" w:sz="0" w:space="0" w:color="auto"/>
        <w:left w:val="none" w:sz="0" w:space="0" w:color="auto"/>
        <w:bottom w:val="none" w:sz="0" w:space="0" w:color="auto"/>
        <w:right w:val="none" w:sz="0" w:space="0" w:color="auto"/>
      </w:divBdr>
    </w:div>
    <w:div w:id="585581056">
      <w:bodyDiv w:val="1"/>
      <w:marLeft w:val="0"/>
      <w:marRight w:val="0"/>
      <w:marTop w:val="0"/>
      <w:marBottom w:val="0"/>
      <w:divBdr>
        <w:top w:val="none" w:sz="0" w:space="0" w:color="auto"/>
        <w:left w:val="none" w:sz="0" w:space="0" w:color="auto"/>
        <w:bottom w:val="none" w:sz="0" w:space="0" w:color="auto"/>
        <w:right w:val="none" w:sz="0" w:space="0" w:color="auto"/>
      </w:divBdr>
    </w:div>
    <w:div w:id="623194302">
      <w:bodyDiv w:val="1"/>
      <w:marLeft w:val="0"/>
      <w:marRight w:val="0"/>
      <w:marTop w:val="0"/>
      <w:marBottom w:val="0"/>
      <w:divBdr>
        <w:top w:val="none" w:sz="0" w:space="0" w:color="auto"/>
        <w:left w:val="none" w:sz="0" w:space="0" w:color="auto"/>
        <w:bottom w:val="none" w:sz="0" w:space="0" w:color="auto"/>
        <w:right w:val="none" w:sz="0" w:space="0" w:color="auto"/>
      </w:divBdr>
      <w:divsChild>
        <w:div w:id="292684401">
          <w:marLeft w:val="360"/>
          <w:marRight w:val="0"/>
          <w:marTop w:val="150"/>
          <w:marBottom w:val="0"/>
          <w:divBdr>
            <w:top w:val="none" w:sz="0" w:space="0" w:color="auto"/>
            <w:left w:val="none" w:sz="0" w:space="0" w:color="auto"/>
            <w:bottom w:val="none" w:sz="0" w:space="0" w:color="auto"/>
            <w:right w:val="none" w:sz="0" w:space="0" w:color="auto"/>
          </w:divBdr>
        </w:div>
        <w:div w:id="1211570773">
          <w:marLeft w:val="360"/>
          <w:marRight w:val="0"/>
          <w:marTop w:val="150"/>
          <w:marBottom w:val="0"/>
          <w:divBdr>
            <w:top w:val="none" w:sz="0" w:space="0" w:color="auto"/>
            <w:left w:val="none" w:sz="0" w:space="0" w:color="auto"/>
            <w:bottom w:val="none" w:sz="0" w:space="0" w:color="auto"/>
            <w:right w:val="none" w:sz="0" w:space="0" w:color="auto"/>
          </w:divBdr>
        </w:div>
        <w:div w:id="1668821399">
          <w:marLeft w:val="360"/>
          <w:marRight w:val="0"/>
          <w:marTop w:val="150"/>
          <w:marBottom w:val="0"/>
          <w:divBdr>
            <w:top w:val="none" w:sz="0" w:space="0" w:color="auto"/>
            <w:left w:val="none" w:sz="0" w:space="0" w:color="auto"/>
            <w:bottom w:val="none" w:sz="0" w:space="0" w:color="auto"/>
            <w:right w:val="none" w:sz="0" w:space="0" w:color="auto"/>
          </w:divBdr>
        </w:div>
        <w:div w:id="1762526400">
          <w:marLeft w:val="360"/>
          <w:marRight w:val="0"/>
          <w:marTop w:val="150"/>
          <w:marBottom w:val="0"/>
          <w:divBdr>
            <w:top w:val="none" w:sz="0" w:space="0" w:color="auto"/>
            <w:left w:val="none" w:sz="0" w:space="0" w:color="auto"/>
            <w:bottom w:val="none" w:sz="0" w:space="0" w:color="auto"/>
            <w:right w:val="none" w:sz="0" w:space="0" w:color="auto"/>
          </w:divBdr>
        </w:div>
        <w:div w:id="695541981">
          <w:marLeft w:val="360"/>
          <w:marRight w:val="0"/>
          <w:marTop w:val="150"/>
          <w:marBottom w:val="0"/>
          <w:divBdr>
            <w:top w:val="none" w:sz="0" w:space="0" w:color="auto"/>
            <w:left w:val="none" w:sz="0" w:space="0" w:color="auto"/>
            <w:bottom w:val="none" w:sz="0" w:space="0" w:color="auto"/>
            <w:right w:val="none" w:sz="0" w:space="0" w:color="auto"/>
          </w:divBdr>
        </w:div>
        <w:div w:id="1345403556">
          <w:marLeft w:val="360"/>
          <w:marRight w:val="0"/>
          <w:marTop w:val="150"/>
          <w:marBottom w:val="0"/>
          <w:divBdr>
            <w:top w:val="none" w:sz="0" w:space="0" w:color="auto"/>
            <w:left w:val="none" w:sz="0" w:space="0" w:color="auto"/>
            <w:bottom w:val="none" w:sz="0" w:space="0" w:color="auto"/>
            <w:right w:val="none" w:sz="0" w:space="0" w:color="auto"/>
          </w:divBdr>
        </w:div>
        <w:div w:id="761031532">
          <w:marLeft w:val="360"/>
          <w:marRight w:val="0"/>
          <w:marTop w:val="150"/>
          <w:marBottom w:val="0"/>
          <w:divBdr>
            <w:top w:val="none" w:sz="0" w:space="0" w:color="auto"/>
            <w:left w:val="none" w:sz="0" w:space="0" w:color="auto"/>
            <w:bottom w:val="none" w:sz="0" w:space="0" w:color="auto"/>
            <w:right w:val="none" w:sz="0" w:space="0" w:color="auto"/>
          </w:divBdr>
        </w:div>
        <w:div w:id="1592352239">
          <w:marLeft w:val="360"/>
          <w:marRight w:val="0"/>
          <w:marTop w:val="150"/>
          <w:marBottom w:val="0"/>
          <w:divBdr>
            <w:top w:val="none" w:sz="0" w:space="0" w:color="auto"/>
            <w:left w:val="none" w:sz="0" w:space="0" w:color="auto"/>
            <w:bottom w:val="none" w:sz="0" w:space="0" w:color="auto"/>
            <w:right w:val="none" w:sz="0" w:space="0" w:color="auto"/>
          </w:divBdr>
        </w:div>
        <w:div w:id="694772348">
          <w:marLeft w:val="360"/>
          <w:marRight w:val="0"/>
          <w:marTop w:val="150"/>
          <w:marBottom w:val="0"/>
          <w:divBdr>
            <w:top w:val="none" w:sz="0" w:space="0" w:color="auto"/>
            <w:left w:val="none" w:sz="0" w:space="0" w:color="auto"/>
            <w:bottom w:val="none" w:sz="0" w:space="0" w:color="auto"/>
            <w:right w:val="none" w:sz="0" w:space="0" w:color="auto"/>
          </w:divBdr>
        </w:div>
        <w:div w:id="180709077">
          <w:marLeft w:val="360"/>
          <w:marRight w:val="0"/>
          <w:marTop w:val="150"/>
          <w:marBottom w:val="0"/>
          <w:divBdr>
            <w:top w:val="none" w:sz="0" w:space="0" w:color="auto"/>
            <w:left w:val="none" w:sz="0" w:space="0" w:color="auto"/>
            <w:bottom w:val="none" w:sz="0" w:space="0" w:color="auto"/>
            <w:right w:val="none" w:sz="0" w:space="0" w:color="auto"/>
          </w:divBdr>
        </w:div>
      </w:divsChild>
    </w:div>
    <w:div w:id="917134206">
      <w:bodyDiv w:val="1"/>
      <w:marLeft w:val="0"/>
      <w:marRight w:val="0"/>
      <w:marTop w:val="0"/>
      <w:marBottom w:val="0"/>
      <w:divBdr>
        <w:top w:val="none" w:sz="0" w:space="0" w:color="auto"/>
        <w:left w:val="none" w:sz="0" w:space="0" w:color="auto"/>
        <w:bottom w:val="none" w:sz="0" w:space="0" w:color="auto"/>
        <w:right w:val="none" w:sz="0" w:space="0" w:color="auto"/>
      </w:divBdr>
    </w:div>
    <w:div w:id="980306912">
      <w:bodyDiv w:val="1"/>
      <w:marLeft w:val="0"/>
      <w:marRight w:val="0"/>
      <w:marTop w:val="0"/>
      <w:marBottom w:val="0"/>
      <w:divBdr>
        <w:top w:val="none" w:sz="0" w:space="0" w:color="auto"/>
        <w:left w:val="none" w:sz="0" w:space="0" w:color="auto"/>
        <w:bottom w:val="none" w:sz="0" w:space="0" w:color="auto"/>
        <w:right w:val="none" w:sz="0" w:space="0" w:color="auto"/>
      </w:divBdr>
    </w:div>
    <w:div w:id="1035697382">
      <w:bodyDiv w:val="1"/>
      <w:marLeft w:val="0"/>
      <w:marRight w:val="0"/>
      <w:marTop w:val="0"/>
      <w:marBottom w:val="0"/>
      <w:divBdr>
        <w:top w:val="none" w:sz="0" w:space="0" w:color="auto"/>
        <w:left w:val="none" w:sz="0" w:space="0" w:color="auto"/>
        <w:bottom w:val="none" w:sz="0" w:space="0" w:color="auto"/>
        <w:right w:val="none" w:sz="0" w:space="0" w:color="auto"/>
      </w:divBdr>
    </w:div>
    <w:div w:id="1445467376">
      <w:bodyDiv w:val="1"/>
      <w:marLeft w:val="0"/>
      <w:marRight w:val="0"/>
      <w:marTop w:val="0"/>
      <w:marBottom w:val="0"/>
      <w:divBdr>
        <w:top w:val="none" w:sz="0" w:space="0" w:color="auto"/>
        <w:left w:val="none" w:sz="0" w:space="0" w:color="auto"/>
        <w:bottom w:val="none" w:sz="0" w:space="0" w:color="auto"/>
        <w:right w:val="none" w:sz="0" w:space="0" w:color="auto"/>
      </w:divBdr>
    </w:div>
    <w:div w:id="1699431649">
      <w:bodyDiv w:val="1"/>
      <w:marLeft w:val="0"/>
      <w:marRight w:val="0"/>
      <w:marTop w:val="0"/>
      <w:marBottom w:val="0"/>
      <w:divBdr>
        <w:top w:val="none" w:sz="0" w:space="0" w:color="auto"/>
        <w:left w:val="none" w:sz="0" w:space="0" w:color="auto"/>
        <w:bottom w:val="none" w:sz="0" w:space="0" w:color="auto"/>
        <w:right w:val="none" w:sz="0" w:space="0" w:color="auto"/>
      </w:divBdr>
    </w:div>
    <w:div w:id="1885943546">
      <w:bodyDiv w:val="1"/>
      <w:marLeft w:val="0"/>
      <w:marRight w:val="0"/>
      <w:marTop w:val="0"/>
      <w:marBottom w:val="0"/>
      <w:divBdr>
        <w:top w:val="none" w:sz="0" w:space="0" w:color="auto"/>
        <w:left w:val="none" w:sz="0" w:space="0" w:color="auto"/>
        <w:bottom w:val="none" w:sz="0" w:space="0" w:color="auto"/>
        <w:right w:val="none" w:sz="0" w:space="0" w:color="auto"/>
      </w:divBdr>
    </w:div>
    <w:div w:id="1971086848">
      <w:bodyDiv w:val="1"/>
      <w:marLeft w:val="0"/>
      <w:marRight w:val="0"/>
      <w:marTop w:val="0"/>
      <w:marBottom w:val="0"/>
      <w:divBdr>
        <w:top w:val="none" w:sz="0" w:space="0" w:color="auto"/>
        <w:left w:val="none" w:sz="0" w:space="0" w:color="auto"/>
        <w:bottom w:val="none" w:sz="0" w:space="0" w:color="auto"/>
        <w:right w:val="none" w:sz="0" w:space="0" w:color="auto"/>
      </w:divBdr>
    </w:div>
    <w:div w:id="2092582504">
      <w:bodyDiv w:val="1"/>
      <w:marLeft w:val="0"/>
      <w:marRight w:val="0"/>
      <w:marTop w:val="0"/>
      <w:marBottom w:val="0"/>
      <w:divBdr>
        <w:top w:val="none" w:sz="0" w:space="0" w:color="auto"/>
        <w:left w:val="none" w:sz="0" w:space="0" w:color="auto"/>
        <w:bottom w:val="none" w:sz="0" w:space="0" w:color="auto"/>
        <w:right w:val="none" w:sz="0" w:space="0" w:color="auto"/>
      </w:divBdr>
    </w:div>
    <w:div w:id="210869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54291-AF5B-4562-BA7D-17B53CCC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3009</Words>
  <Characters>16555</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ME-PC</dc:creator>
  <cp:lastModifiedBy>RANTOU</cp:lastModifiedBy>
  <cp:revision>21</cp:revision>
  <dcterms:created xsi:type="dcterms:W3CDTF">2026-01-19T06:54:00Z</dcterms:created>
  <dcterms:modified xsi:type="dcterms:W3CDTF">2026-01-31T07:32:00Z</dcterms:modified>
</cp:coreProperties>
</file>